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C99C" w14:textId="77777777" w:rsidR="007D78BE" w:rsidRPr="007D78BE" w:rsidRDefault="007D78BE" w:rsidP="007D78BE">
      <w:pPr>
        <w:spacing w:after="0" w:line="240" w:lineRule="auto"/>
        <w:jc w:val="center"/>
        <w:rPr>
          <w:rFonts w:ascii="Arial" w:eastAsia="Times New Roman" w:hAnsi="Arial" w:cs="Arial"/>
          <w:b/>
          <w:color w:val="000000"/>
        </w:rPr>
      </w:pPr>
      <w:bookmarkStart w:id="0" w:name="_Hlk67900618"/>
      <w:bookmarkStart w:id="1" w:name="_Hlk66367120"/>
      <w:bookmarkStart w:id="2" w:name="_Hlk66113837"/>
      <w:bookmarkEnd w:id="0"/>
      <w:bookmarkEnd w:id="1"/>
      <w:bookmarkEnd w:id="2"/>
      <w:r w:rsidRPr="007D78BE">
        <w:rPr>
          <w:rFonts w:ascii="Arial" w:eastAsia="Times New Roman" w:hAnsi="Arial" w:cs="Times New Roman"/>
          <w:bCs/>
          <w:noProof/>
          <w:color w:val="000000"/>
          <w:sz w:val="20"/>
          <w:szCs w:val="24"/>
        </w:rPr>
        <w:drawing>
          <wp:inline distT="0" distB="0" distL="0" distR="0" wp14:anchorId="1402FC23" wp14:editId="518F98A4">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7">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510846A1" w14:textId="77777777" w:rsidR="007D78BE" w:rsidRPr="007D78BE" w:rsidRDefault="007D78BE" w:rsidP="007D78BE">
      <w:pPr>
        <w:spacing w:before="120"/>
        <w:jc w:val="center"/>
        <w:rPr>
          <w:rFonts w:ascii="Arial" w:eastAsia="Calibri" w:hAnsi="Arial" w:cs="Times New Roman"/>
          <w:b/>
          <w:bCs/>
          <w:color w:val="000000"/>
          <w:lang w:val="es-ES"/>
        </w:rPr>
      </w:pPr>
    </w:p>
    <w:p w14:paraId="458A69FA" w14:textId="77777777" w:rsidR="007D78BE" w:rsidRPr="007D78BE" w:rsidRDefault="007D78BE" w:rsidP="007D78BE">
      <w:pPr>
        <w:spacing w:after="240" w:line="240" w:lineRule="auto"/>
        <w:jc w:val="center"/>
        <w:rPr>
          <w:rFonts w:ascii="Arial" w:eastAsia="Times New Roman" w:hAnsi="Arial" w:cs="Arial"/>
          <w:b/>
          <w:color w:val="000000"/>
        </w:rPr>
      </w:pPr>
      <w:r w:rsidRPr="007D78BE">
        <w:rPr>
          <w:rFonts w:ascii="Arial" w:eastAsia="Times New Roman" w:hAnsi="Arial" w:cs="Arial"/>
          <w:b/>
          <w:color w:val="000000"/>
        </w:rPr>
        <w:t xml:space="preserve">“ACTUALIZACIÓN, AJUSTES Y COMPLEMENTACIÓN DE LA FACTIBILIDAD Y LOS ESTUDIOS Y DISEÑOS DEL CABLE AÉREO EN SAN CRISTÓBAL, </w:t>
      </w:r>
    </w:p>
    <w:p w14:paraId="6A106D57" w14:textId="77777777" w:rsidR="007D78BE" w:rsidRPr="007D78BE" w:rsidRDefault="007D78BE" w:rsidP="007D78BE">
      <w:pPr>
        <w:spacing w:before="120"/>
        <w:jc w:val="center"/>
        <w:rPr>
          <w:rFonts w:ascii="Arial" w:eastAsia="Calibri" w:hAnsi="Arial" w:cs="Times New Roman"/>
          <w:b/>
          <w:bCs/>
          <w:color w:val="000000"/>
          <w:lang w:val="es-ES"/>
        </w:rPr>
      </w:pPr>
      <w:r w:rsidRPr="007D78BE">
        <w:rPr>
          <w:rFonts w:ascii="Arial" w:eastAsia="Calibri" w:hAnsi="Arial" w:cs="Times New Roman"/>
          <w:b/>
          <w:bCs/>
          <w:color w:val="000000"/>
          <w:lang w:val="es-ES"/>
        </w:rPr>
        <w:t>EN BOGOTÁ D.C.”</w:t>
      </w:r>
    </w:p>
    <w:p w14:paraId="133F946D" w14:textId="77777777" w:rsidR="007D78BE" w:rsidRPr="007D78BE" w:rsidRDefault="007D78BE" w:rsidP="007D78BE">
      <w:pPr>
        <w:suppressAutoHyphens/>
        <w:autoSpaceDE w:val="0"/>
        <w:autoSpaceDN w:val="0"/>
        <w:adjustRightInd w:val="0"/>
        <w:spacing w:after="0" w:line="240" w:lineRule="auto"/>
        <w:jc w:val="both"/>
        <w:rPr>
          <w:rFonts w:ascii="Arial" w:eastAsia="Times New Roman" w:hAnsi="Arial" w:cs="Arial"/>
          <w:color w:val="000000"/>
          <w:lang w:eastAsia="zh-CN"/>
        </w:rPr>
      </w:pPr>
    </w:p>
    <w:p w14:paraId="092DC9B5" w14:textId="77777777" w:rsidR="007D78BE" w:rsidRPr="007D78BE" w:rsidRDefault="007D78BE" w:rsidP="007D78BE">
      <w:pPr>
        <w:spacing w:before="120"/>
        <w:jc w:val="center"/>
        <w:rPr>
          <w:rFonts w:ascii="Arial" w:eastAsia="Calibri" w:hAnsi="Arial" w:cs="Times New Roman"/>
          <w:b/>
          <w:color w:val="000000"/>
          <w:lang w:val="es-ES"/>
        </w:rPr>
      </w:pPr>
      <w:r w:rsidRPr="007D78BE">
        <w:rPr>
          <w:rFonts w:ascii="Arial" w:eastAsia="Calibri" w:hAnsi="Arial" w:cs="Times New Roman"/>
          <w:b/>
          <w:color w:val="000000"/>
          <w:lang w:val="es-ES"/>
        </w:rPr>
        <w:t>CONTRATO DE CONSULTORÍA No. 1630 DE 2020</w:t>
      </w:r>
    </w:p>
    <w:p w14:paraId="3C9FC965" w14:textId="77777777" w:rsidR="007D78BE" w:rsidRPr="007D78BE" w:rsidRDefault="007D78BE" w:rsidP="007D78BE">
      <w:pPr>
        <w:spacing w:before="120" w:after="120" w:line="240" w:lineRule="auto"/>
        <w:jc w:val="both"/>
        <w:rPr>
          <w:rFonts w:ascii="Arial" w:eastAsia="Calibri" w:hAnsi="Arial" w:cs="Arial"/>
          <w:b/>
        </w:rPr>
      </w:pPr>
    </w:p>
    <w:p w14:paraId="58FDFAB6" w14:textId="77777777" w:rsidR="007D78BE" w:rsidRPr="007D78BE" w:rsidRDefault="007D78BE" w:rsidP="007D78BE">
      <w:pPr>
        <w:spacing w:before="120" w:after="120" w:line="240" w:lineRule="auto"/>
        <w:jc w:val="both"/>
        <w:rPr>
          <w:rFonts w:ascii="Arial" w:eastAsia="Calibri" w:hAnsi="Arial" w:cs="Arial"/>
          <w:b/>
        </w:rPr>
      </w:pPr>
    </w:p>
    <w:p w14:paraId="55D5849B" w14:textId="77777777" w:rsidR="007D78BE" w:rsidRPr="007D78BE" w:rsidRDefault="007D78BE" w:rsidP="007D78BE">
      <w:pPr>
        <w:spacing w:before="120" w:after="120" w:line="240" w:lineRule="auto"/>
        <w:jc w:val="both"/>
        <w:rPr>
          <w:rFonts w:ascii="Arial" w:eastAsia="Calibri" w:hAnsi="Arial" w:cs="Arial"/>
          <w:b/>
        </w:rPr>
      </w:pPr>
    </w:p>
    <w:p w14:paraId="7B4D00CD" w14:textId="77777777" w:rsidR="007D78BE" w:rsidRPr="007D78BE" w:rsidRDefault="007D78BE" w:rsidP="007D78BE">
      <w:pPr>
        <w:spacing w:before="120" w:after="120" w:line="240" w:lineRule="auto"/>
        <w:jc w:val="both"/>
        <w:rPr>
          <w:rFonts w:ascii="Arial" w:eastAsia="Calibri" w:hAnsi="Arial" w:cs="Arial"/>
          <w:b/>
        </w:rPr>
      </w:pPr>
    </w:p>
    <w:p w14:paraId="5424B826" w14:textId="5ECDDF09" w:rsidR="007D78BE" w:rsidRPr="007D78BE" w:rsidRDefault="007D78BE" w:rsidP="007D78BE">
      <w:pPr>
        <w:spacing w:before="120"/>
        <w:jc w:val="center"/>
        <w:rPr>
          <w:rFonts w:ascii="Arial" w:eastAsia="Calibri" w:hAnsi="Arial" w:cs="Times New Roman"/>
          <w:b/>
          <w:bCs/>
          <w:color w:val="000000"/>
          <w:lang w:val="es-ES"/>
        </w:rPr>
      </w:pPr>
      <w:r w:rsidRPr="007D78BE">
        <w:rPr>
          <w:rFonts w:ascii="Arial" w:eastAsia="Calibri" w:hAnsi="Arial" w:cs="Times New Roman"/>
          <w:b/>
          <w:bCs/>
          <w:color w:val="000000"/>
          <w:lang w:val="es-ES"/>
        </w:rPr>
        <w:t>ESTUDIO AMBIENTAL</w:t>
      </w:r>
    </w:p>
    <w:p w14:paraId="1FB9776D" w14:textId="6EA2AB9D" w:rsidR="007D78BE" w:rsidRPr="007D78BE" w:rsidRDefault="007D78BE" w:rsidP="007D78BE">
      <w:pPr>
        <w:spacing w:before="120"/>
        <w:jc w:val="center"/>
        <w:rPr>
          <w:rFonts w:ascii="Arial" w:eastAsia="Calibri" w:hAnsi="Arial" w:cs="Times New Roman"/>
          <w:b/>
          <w:bCs/>
          <w:color w:val="000000"/>
          <w:lang w:val="es-ES"/>
        </w:rPr>
      </w:pPr>
      <w:r>
        <w:rPr>
          <w:rFonts w:ascii="Arial" w:eastAsia="Calibri" w:hAnsi="Arial" w:cs="Times New Roman"/>
          <w:b/>
          <w:bCs/>
          <w:color w:val="000000"/>
          <w:lang w:val="es-ES"/>
        </w:rPr>
        <w:t>ANEXO. BIBLIOGRAFÍA</w:t>
      </w:r>
    </w:p>
    <w:p w14:paraId="29276079" w14:textId="77777777" w:rsidR="007D78BE" w:rsidRPr="007D78BE" w:rsidRDefault="007D78BE" w:rsidP="007D78BE">
      <w:pPr>
        <w:suppressAutoHyphens/>
        <w:autoSpaceDE w:val="0"/>
        <w:autoSpaceDN w:val="0"/>
        <w:adjustRightInd w:val="0"/>
        <w:spacing w:after="0" w:line="240" w:lineRule="auto"/>
        <w:jc w:val="both"/>
        <w:rPr>
          <w:rFonts w:ascii="Arial" w:eastAsia="Times New Roman" w:hAnsi="Arial" w:cs="Arial"/>
          <w:color w:val="000000"/>
          <w:lang w:eastAsia="zh-CN"/>
        </w:rPr>
      </w:pPr>
      <w:bookmarkStart w:id="3" w:name="_Hlk66207687"/>
    </w:p>
    <w:p w14:paraId="66ACCD8F" w14:textId="77777777" w:rsidR="007D78BE" w:rsidRPr="007D78BE" w:rsidRDefault="007D78BE" w:rsidP="007D78BE">
      <w:pPr>
        <w:autoSpaceDE w:val="0"/>
        <w:autoSpaceDN w:val="0"/>
        <w:adjustRightInd w:val="0"/>
        <w:spacing w:after="0" w:line="240" w:lineRule="auto"/>
        <w:jc w:val="center"/>
        <w:rPr>
          <w:rFonts w:ascii="Arial" w:eastAsia="Times New Roman" w:hAnsi="Arial" w:cs="Arial"/>
          <w:color w:val="000000"/>
        </w:rPr>
      </w:pPr>
      <w:bookmarkStart w:id="4" w:name="_Hlk66205451"/>
      <w:r w:rsidRPr="007D78BE">
        <w:rPr>
          <w:rFonts w:ascii="Arial" w:eastAsia="Times New Roman" w:hAnsi="Arial" w:cs="Arial"/>
          <w:noProof/>
          <w:lang w:eastAsia="ja-JP"/>
        </w:rPr>
        <mc:AlternateContent>
          <mc:Choice Requires="wpg">
            <w:drawing>
              <wp:inline distT="0" distB="0" distL="0" distR="0" wp14:anchorId="0CDFA1D3" wp14:editId="7A4FD1BF">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8"/>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9"/>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0"/>
                          <a:stretch>
                            <a:fillRect/>
                          </a:stretch>
                        </pic:blipFill>
                        <pic:spPr>
                          <a:xfrm>
                            <a:off x="3017101" y="1980000"/>
                            <a:ext cx="3115595" cy="648000"/>
                          </a:xfrm>
                          <a:prstGeom prst="rect">
                            <a:avLst/>
                          </a:prstGeom>
                        </pic:spPr>
                      </pic:pic>
                    </wpg:wgp>
                  </a:graphicData>
                </a:graphic>
              </wp:inline>
            </w:drawing>
          </mc:Choice>
          <mc:Fallback>
            <w:pict>
              <v:group w14:anchorId="10B8D722"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1"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2"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3" o:title=""/>
                </v:shape>
                <w10:anchorlock/>
              </v:group>
            </w:pict>
          </mc:Fallback>
        </mc:AlternateContent>
      </w:r>
    </w:p>
    <w:p w14:paraId="0E56CB5B" w14:textId="77777777" w:rsidR="007D78BE" w:rsidRPr="007D78BE" w:rsidRDefault="007D78BE" w:rsidP="007D78BE">
      <w:pPr>
        <w:spacing w:before="120" w:after="120" w:line="240" w:lineRule="auto"/>
        <w:jc w:val="both"/>
        <w:rPr>
          <w:rFonts w:ascii="Arial" w:eastAsia="Calibri" w:hAnsi="Arial" w:cs="Arial"/>
          <w:b/>
        </w:rPr>
      </w:pPr>
    </w:p>
    <w:p w14:paraId="32C424D2" w14:textId="77777777" w:rsidR="007D78BE" w:rsidRPr="007D78BE" w:rsidRDefault="007D78BE" w:rsidP="007D78BE">
      <w:pPr>
        <w:spacing w:before="120" w:after="120" w:line="240" w:lineRule="auto"/>
        <w:jc w:val="both"/>
        <w:rPr>
          <w:rFonts w:ascii="Arial" w:eastAsia="Calibri" w:hAnsi="Arial" w:cs="Arial"/>
          <w:b/>
        </w:rPr>
      </w:pPr>
    </w:p>
    <w:bookmarkEnd w:id="3"/>
    <w:bookmarkEnd w:id="4"/>
    <w:p w14:paraId="29C56010" w14:textId="77777777" w:rsidR="007D78BE" w:rsidRPr="007D78BE" w:rsidRDefault="007D78BE" w:rsidP="007D78BE">
      <w:pPr>
        <w:spacing w:after="0" w:line="240" w:lineRule="auto"/>
        <w:jc w:val="center"/>
        <w:rPr>
          <w:rFonts w:ascii="Arial" w:eastAsia="Times New Roman" w:hAnsi="Arial" w:cs="Arial"/>
          <w:b/>
          <w:bCs/>
          <w:color w:val="000000"/>
        </w:rPr>
      </w:pPr>
      <w:r w:rsidRPr="007D78BE">
        <w:rPr>
          <w:rFonts w:ascii="Arial" w:eastAsia="Times New Roman" w:hAnsi="Arial" w:cs="Arial"/>
          <w:b/>
          <w:bCs/>
          <w:color w:val="000000"/>
        </w:rPr>
        <w:t>BOGOTÁ, 2022 – Febrero 19</w:t>
      </w:r>
    </w:p>
    <w:p w14:paraId="262BF792" w14:textId="7FC56D55" w:rsidR="007D78BE" w:rsidRDefault="007D78BE" w:rsidP="00433806">
      <w:pPr>
        <w:jc w:val="center"/>
        <w:rPr>
          <w:rFonts w:ascii="Arial" w:hAnsi="Arial" w:cs="Arial"/>
          <w:color w:val="000000"/>
        </w:rPr>
      </w:pPr>
    </w:p>
    <w:p w14:paraId="54005927" w14:textId="2C691000" w:rsidR="007D78BE" w:rsidRDefault="007D78BE">
      <w:pPr>
        <w:rPr>
          <w:rFonts w:ascii="Arial" w:hAnsi="Arial" w:cs="Arial"/>
          <w:color w:val="000000"/>
        </w:rPr>
      </w:pPr>
      <w:r>
        <w:rPr>
          <w:rFonts w:ascii="Arial" w:hAnsi="Arial" w:cs="Arial"/>
          <w:color w:val="000000"/>
        </w:rPr>
        <w:br w:type="page"/>
      </w:r>
    </w:p>
    <w:p w14:paraId="6242EBB4" w14:textId="0E7AC8F1" w:rsidR="007D78BE" w:rsidRDefault="007D78BE" w:rsidP="007D78BE">
      <w:pPr>
        <w:spacing w:after="240" w:line="240" w:lineRule="auto"/>
        <w:jc w:val="center"/>
        <w:rPr>
          <w:rFonts w:ascii="Arial" w:eastAsia="Times New Roman" w:hAnsi="Arial" w:cs="Arial"/>
          <w:b/>
          <w:bCs/>
          <w:color w:val="000000"/>
        </w:rPr>
      </w:pPr>
      <w:r w:rsidRPr="007D78BE">
        <w:rPr>
          <w:rFonts w:ascii="Arial" w:eastAsia="Times New Roman" w:hAnsi="Arial" w:cs="Arial"/>
          <w:b/>
          <w:bCs/>
          <w:color w:val="000000"/>
        </w:rPr>
        <w:lastRenderedPageBreak/>
        <w:t>PRODUCTO DOCUMENTAL</w:t>
      </w:r>
    </w:p>
    <w:p w14:paraId="177B81DF" w14:textId="77777777" w:rsidR="007D78BE" w:rsidRPr="007D78BE" w:rsidRDefault="007D78BE" w:rsidP="007D78BE">
      <w:pPr>
        <w:spacing w:after="240" w:line="240" w:lineRule="auto"/>
        <w:jc w:val="center"/>
        <w:rPr>
          <w:rFonts w:ascii="Arial" w:eastAsia="Times New Roman" w:hAnsi="Arial" w:cs="Arial"/>
          <w:b/>
          <w:bCs/>
          <w:color w:val="000000"/>
        </w:rPr>
      </w:pPr>
    </w:p>
    <w:p w14:paraId="47E290D5" w14:textId="5076F8F3" w:rsidR="007D78BE" w:rsidRDefault="007D78BE" w:rsidP="007D78BE">
      <w:pPr>
        <w:spacing w:after="0" w:line="240" w:lineRule="auto"/>
        <w:jc w:val="center"/>
        <w:rPr>
          <w:rFonts w:ascii="Arial" w:eastAsia="Times New Roman" w:hAnsi="Arial" w:cs="Arial"/>
          <w:b/>
          <w:bCs/>
          <w:color w:val="000000"/>
        </w:rPr>
      </w:pPr>
      <w:r w:rsidRPr="007D78BE">
        <w:rPr>
          <w:rFonts w:ascii="Arial" w:eastAsia="Times New Roman" w:hAnsi="Arial" w:cs="Arial"/>
          <w:b/>
          <w:bCs/>
          <w:color w:val="000000"/>
        </w:rPr>
        <w:t>ESTUDIO AMBIENTAL</w:t>
      </w:r>
    </w:p>
    <w:p w14:paraId="31CE8D78" w14:textId="77777777" w:rsidR="007D78BE" w:rsidRPr="007D78BE" w:rsidRDefault="007D78BE" w:rsidP="007D78BE">
      <w:pPr>
        <w:spacing w:after="0" w:line="240" w:lineRule="auto"/>
        <w:jc w:val="center"/>
        <w:rPr>
          <w:rFonts w:ascii="Arial" w:eastAsia="Times New Roman" w:hAnsi="Arial" w:cs="Arial"/>
          <w:b/>
          <w:bCs/>
          <w:color w:val="000000"/>
        </w:rPr>
      </w:pPr>
    </w:p>
    <w:p w14:paraId="66B1F8D8" w14:textId="77777777" w:rsidR="00CE0BF0" w:rsidRDefault="00CE0BF0" w:rsidP="00CE0BF0">
      <w:pPr>
        <w:jc w:val="center"/>
        <w:rPr>
          <w:rFonts w:ascii="Arial" w:hAnsi="Arial" w:cs="Arial"/>
          <w:b/>
          <w:bCs/>
          <w:color w:val="000000" w:themeColor="text1"/>
        </w:rPr>
      </w:pPr>
    </w:p>
    <w:p w14:paraId="71AFEF0A" w14:textId="4DC80BD5" w:rsidR="00CE0BF0" w:rsidRPr="004F726D" w:rsidRDefault="00CE0BF0" w:rsidP="007D78BE">
      <w:pPr>
        <w:tabs>
          <w:tab w:val="center" w:pos="4252"/>
          <w:tab w:val="left" w:pos="6975"/>
        </w:tabs>
        <w:jc w:val="center"/>
        <w:rPr>
          <w:rFonts w:ascii="Arial" w:hAnsi="Arial" w:cs="Arial"/>
          <w:b/>
          <w:bCs/>
          <w:color w:val="000000" w:themeColor="text1"/>
        </w:rPr>
      </w:pPr>
      <w:r>
        <w:rPr>
          <w:rFonts w:ascii="Arial" w:hAnsi="Arial" w:cs="Arial"/>
          <w:b/>
          <w:bCs/>
          <w:color w:val="000000" w:themeColor="text1"/>
        </w:rPr>
        <w:t>ANEXO. BIBLIOGRAFIA</w:t>
      </w:r>
    </w:p>
    <w:p w14:paraId="5C6B171B" w14:textId="77777777" w:rsidR="00CE0BF0" w:rsidRPr="004F726D" w:rsidRDefault="00CE0BF0" w:rsidP="00CE0BF0">
      <w:pPr>
        <w:jc w:val="center"/>
        <w:rPr>
          <w:rFonts w:ascii="Arial" w:hAnsi="Arial" w:cs="Arial"/>
          <w:b/>
          <w:bCs/>
          <w:color w:val="000000" w:themeColor="text1"/>
        </w:rPr>
      </w:pPr>
    </w:p>
    <w:p w14:paraId="3CF7BF3A" w14:textId="77777777" w:rsidR="00CE0BF0" w:rsidRPr="004F726D" w:rsidRDefault="00CE0BF0" w:rsidP="00CE0BF0">
      <w:pPr>
        <w:jc w:val="center"/>
        <w:rPr>
          <w:rFonts w:ascii="Arial" w:hAnsi="Arial" w:cs="Arial"/>
          <w:b/>
          <w:bCs/>
          <w:color w:val="000000"/>
        </w:rPr>
      </w:pPr>
      <w:r w:rsidRPr="004F726D">
        <w:rPr>
          <w:rFonts w:ascii="Arial" w:hAnsi="Arial" w:cs="Arial"/>
          <w:b/>
          <w:bCs/>
          <w:color w:val="000000"/>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276"/>
        <w:gridCol w:w="5670"/>
        <w:gridCol w:w="1135"/>
      </w:tblGrid>
      <w:tr w:rsidR="00CE0BF0" w:rsidRPr="004F726D" w14:paraId="79F10ED9" w14:textId="77777777" w:rsidTr="00333EDA">
        <w:trPr>
          <w:jc w:val="center"/>
        </w:trPr>
        <w:tc>
          <w:tcPr>
            <w:tcW w:w="112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76FD75C" w14:textId="77777777" w:rsidR="00CE0BF0" w:rsidRPr="00333EDA" w:rsidRDefault="00CE0BF0" w:rsidP="007A093E">
            <w:pPr>
              <w:spacing w:before="60" w:after="60"/>
              <w:jc w:val="center"/>
              <w:rPr>
                <w:rFonts w:ascii="Arial" w:hAnsi="Arial" w:cs="Arial"/>
                <w:b/>
                <w:color w:val="000000"/>
                <w:sz w:val="20"/>
                <w:szCs w:val="20"/>
              </w:rPr>
            </w:pPr>
            <w:r w:rsidRPr="00333EDA">
              <w:rPr>
                <w:rFonts w:ascii="Arial" w:hAnsi="Arial" w:cs="Arial"/>
                <w:b/>
                <w:color w:val="000000"/>
                <w:sz w:val="20"/>
                <w:szCs w:val="2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8A59C3E" w14:textId="77777777" w:rsidR="00CE0BF0" w:rsidRPr="00333EDA" w:rsidRDefault="00CE0BF0" w:rsidP="007A093E">
            <w:pPr>
              <w:spacing w:before="60" w:after="60"/>
              <w:jc w:val="center"/>
              <w:rPr>
                <w:rFonts w:ascii="Arial" w:hAnsi="Arial" w:cs="Arial"/>
                <w:b/>
                <w:color w:val="000000"/>
                <w:sz w:val="20"/>
                <w:szCs w:val="20"/>
              </w:rPr>
            </w:pPr>
            <w:r w:rsidRPr="00333EDA">
              <w:rPr>
                <w:rFonts w:ascii="Arial" w:hAnsi="Arial" w:cs="Arial"/>
                <w:b/>
                <w:color w:val="000000"/>
                <w:sz w:val="20"/>
                <w:szCs w:val="20"/>
              </w:rPr>
              <w:t>Fecha</w:t>
            </w:r>
          </w:p>
        </w:tc>
        <w:tc>
          <w:tcPr>
            <w:tcW w:w="56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467DCBA" w14:textId="77777777" w:rsidR="00CE0BF0" w:rsidRPr="00333EDA" w:rsidRDefault="00CE0BF0" w:rsidP="007A093E">
            <w:pPr>
              <w:spacing w:before="60" w:after="60"/>
              <w:jc w:val="center"/>
              <w:rPr>
                <w:rFonts w:ascii="Arial" w:hAnsi="Arial" w:cs="Arial"/>
                <w:b/>
                <w:color w:val="000000"/>
                <w:sz w:val="20"/>
                <w:szCs w:val="20"/>
              </w:rPr>
            </w:pPr>
            <w:r w:rsidRPr="00333EDA">
              <w:rPr>
                <w:rFonts w:ascii="Arial" w:hAnsi="Arial" w:cs="Arial"/>
                <w:b/>
                <w:color w:val="000000"/>
                <w:sz w:val="20"/>
                <w:szCs w:val="20"/>
              </w:rPr>
              <w:t>Descripción de la Modificación</w:t>
            </w:r>
          </w:p>
        </w:tc>
        <w:tc>
          <w:tcPr>
            <w:tcW w:w="113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F8B9C1F" w14:textId="77777777" w:rsidR="00CE0BF0" w:rsidRPr="00333EDA" w:rsidRDefault="00CE0BF0" w:rsidP="007A093E">
            <w:pPr>
              <w:spacing w:before="60" w:after="60"/>
              <w:jc w:val="center"/>
              <w:rPr>
                <w:rFonts w:ascii="Arial" w:hAnsi="Arial" w:cs="Arial"/>
                <w:b/>
                <w:color w:val="000000"/>
                <w:sz w:val="20"/>
                <w:szCs w:val="20"/>
              </w:rPr>
            </w:pPr>
            <w:r w:rsidRPr="00333EDA">
              <w:rPr>
                <w:rFonts w:ascii="Arial" w:hAnsi="Arial" w:cs="Arial"/>
                <w:b/>
                <w:color w:val="000000"/>
                <w:sz w:val="20"/>
                <w:szCs w:val="20"/>
              </w:rPr>
              <w:t>Folios</w:t>
            </w:r>
          </w:p>
        </w:tc>
      </w:tr>
      <w:tr w:rsidR="00CE0BF0" w:rsidRPr="004F726D" w14:paraId="27A7BC8D" w14:textId="77777777" w:rsidTr="00333EDA">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2FD3A6E0" w14:textId="74C90DDB" w:rsidR="00CE0BF0" w:rsidRPr="00333EDA" w:rsidRDefault="00CE0BF0" w:rsidP="00CE0BF0">
            <w:pPr>
              <w:spacing w:before="60" w:after="60"/>
              <w:jc w:val="center"/>
              <w:rPr>
                <w:rFonts w:ascii="Arial" w:hAnsi="Arial" w:cs="Arial"/>
                <w:sz w:val="20"/>
                <w:szCs w:val="20"/>
              </w:rPr>
            </w:pPr>
            <w:r w:rsidRPr="00333EDA">
              <w:rPr>
                <w:rFonts w:ascii="Arial" w:hAnsi="Arial" w:cs="Arial"/>
                <w:sz w:val="20"/>
                <w:szCs w:val="20"/>
              </w:rPr>
              <w:t>Versión 00</w:t>
            </w:r>
          </w:p>
        </w:tc>
        <w:tc>
          <w:tcPr>
            <w:tcW w:w="1276" w:type="dxa"/>
            <w:tcBorders>
              <w:top w:val="single" w:sz="4" w:space="0" w:color="auto"/>
              <w:left w:val="single" w:sz="4" w:space="0" w:color="auto"/>
              <w:bottom w:val="single" w:sz="4" w:space="0" w:color="auto"/>
              <w:right w:val="single" w:sz="4" w:space="0" w:color="auto"/>
            </w:tcBorders>
            <w:vAlign w:val="center"/>
          </w:tcPr>
          <w:p w14:paraId="65B5A595" w14:textId="18552E87" w:rsidR="00CE0BF0" w:rsidRPr="00333EDA" w:rsidRDefault="00CE0BF0" w:rsidP="00CE0BF0">
            <w:pPr>
              <w:spacing w:before="60" w:after="60"/>
              <w:jc w:val="center"/>
              <w:rPr>
                <w:rFonts w:ascii="Arial" w:hAnsi="Arial" w:cs="Arial"/>
                <w:sz w:val="20"/>
                <w:szCs w:val="20"/>
              </w:rPr>
            </w:pPr>
            <w:r w:rsidRPr="00333EDA">
              <w:rPr>
                <w:rFonts w:ascii="Arial" w:hAnsi="Arial" w:cs="Arial"/>
                <w:sz w:val="20"/>
                <w:szCs w:val="20"/>
              </w:rPr>
              <w:t>03/01/2022</w:t>
            </w:r>
          </w:p>
        </w:tc>
        <w:tc>
          <w:tcPr>
            <w:tcW w:w="5670" w:type="dxa"/>
            <w:tcBorders>
              <w:top w:val="single" w:sz="4" w:space="0" w:color="auto"/>
              <w:left w:val="single" w:sz="4" w:space="0" w:color="auto"/>
              <w:bottom w:val="single" w:sz="4" w:space="0" w:color="auto"/>
              <w:right w:val="single" w:sz="4" w:space="0" w:color="auto"/>
            </w:tcBorders>
            <w:vAlign w:val="center"/>
          </w:tcPr>
          <w:p w14:paraId="049E268A" w14:textId="4B20DE1B" w:rsidR="00CE0BF0" w:rsidRPr="00333EDA" w:rsidRDefault="00333EDA" w:rsidP="00CE0BF0">
            <w:pPr>
              <w:spacing w:before="60" w:after="60"/>
              <w:jc w:val="center"/>
              <w:rPr>
                <w:rFonts w:ascii="Arial" w:hAnsi="Arial" w:cs="Arial"/>
                <w:sz w:val="20"/>
                <w:szCs w:val="20"/>
              </w:rPr>
            </w:pPr>
            <w:r w:rsidRPr="00333EDA">
              <w:rPr>
                <w:rFonts w:ascii="Arial" w:hAnsi="Arial" w:cs="Arial"/>
                <w:sz w:val="20"/>
                <w:szCs w:val="20"/>
              </w:rPr>
              <w:t xml:space="preserve">comunicado ISC-CAI-P1580-681. </w:t>
            </w:r>
            <w:r w:rsidR="00CE0BF0" w:rsidRPr="00333EDA">
              <w:rPr>
                <w:rFonts w:ascii="Arial" w:hAnsi="Arial" w:cs="Arial"/>
                <w:sz w:val="20"/>
                <w:szCs w:val="20"/>
              </w:rPr>
              <w:t>Creación del documento</w:t>
            </w:r>
          </w:p>
        </w:tc>
        <w:tc>
          <w:tcPr>
            <w:tcW w:w="1135" w:type="dxa"/>
            <w:tcBorders>
              <w:top w:val="single" w:sz="4" w:space="0" w:color="auto"/>
              <w:left w:val="single" w:sz="4" w:space="0" w:color="auto"/>
              <w:bottom w:val="single" w:sz="4" w:space="0" w:color="auto"/>
              <w:right w:val="single" w:sz="4" w:space="0" w:color="auto"/>
            </w:tcBorders>
            <w:vAlign w:val="center"/>
          </w:tcPr>
          <w:p w14:paraId="423934B4" w14:textId="44CE0F31" w:rsidR="00CE0BF0" w:rsidRPr="00333EDA" w:rsidRDefault="0068610E" w:rsidP="00CE0BF0">
            <w:pPr>
              <w:spacing w:before="60" w:after="60"/>
              <w:jc w:val="center"/>
              <w:rPr>
                <w:rFonts w:ascii="Arial" w:hAnsi="Arial" w:cs="Arial"/>
                <w:sz w:val="20"/>
                <w:szCs w:val="20"/>
              </w:rPr>
            </w:pPr>
            <w:r>
              <w:rPr>
                <w:rFonts w:ascii="Arial" w:hAnsi="Arial" w:cs="Arial"/>
                <w:sz w:val="20"/>
                <w:szCs w:val="20"/>
              </w:rPr>
              <w:t>8</w:t>
            </w:r>
          </w:p>
        </w:tc>
      </w:tr>
      <w:tr w:rsidR="00CE0BF0" w:rsidRPr="004F726D" w14:paraId="57A678FB" w14:textId="77777777" w:rsidTr="00333EDA">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68F93AEC" w14:textId="42902E35" w:rsidR="00CE0BF0" w:rsidRPr="007D78BE" w:rsidRDefault="007D78BE" w:rsidP="007A093E">
            <w:pPr>
              <w:spacing w:before="60" w:after="60"/>
              <w:jc w:val="center"/>
              <w:rPr>
                <w:rFonts w:ascii="Arial" w:hAnsi="Arial" w:cs="Arial"/>
                <w:sz w:val="20"/>
                <w:szCs w:val="20"/>
              </w:rPr>
            </w:pPr>
            <w:r w:rsidRPr="007D78BE">
              <w:rPr>
                <w:rFonts w:ascii="Arial" w:hAnsi="Arial" w:cs="Arial"/>
                <w:sz w:val="20"/>
                <w:szCs w:val="20"/>
              </w:rPr>
              <w:t>Versión 01</w:t>
            </w:r>
          </w:p>
        </w:tc>
        <w:tc>
          <w:tcPr>
            <w:tcW w:w="1276" w:type="dxa"/>
            <w:tcBorders>
              <w:top w:val="single" w:sz="4" w:space="0" w:color="auto"/>
              <w:left w:val="single" w:sz="4" w:space="0" w:color="auto"/>
              <w:bottom w:val="single" w:sz="4" w:space="0" w:color="auto"/>
              <w:right w:val="single" w:sz="4" w:space="0" w:color="auto"/>
            </w:tcBorders>
            <w:vAlign w:val="center"/>
          </w:tcPr>
          <w:p w14:paraId="3C565770" w14:textId="7A613F69" w:rsidR="00CE0BF0" w:rsidRPr="007D78BE" w:rsidRDefault="007D78BE" w:rsidP="007A093E">
            <w:pPr>
              <w:spacing w:before="60" w:after="60"/>
              <w:jc w:val="center"/>
              <w:rPr>
                <w:rFonts w:ascii="Arial" w:hAnsi="Arial" w:cs="Arial"/>
                <w:sz w:val="20"/>
                <w:szCs w:val="20"/>
              </w:rPr>
            </w:pPr>
            <w:r w:rsidRPr="007D78BE">
              <w:rPr>
                <w:rFonts w:ascii="Arial" w:hAnsi="Arial" w:cs="Arial"/>
                <w:sz w:val="20"/>
                <w:szCs w:val="20"/>
              </w:rPr>
              <w:t>19/02/2022</w:t>
            </w:r>
          </w:p>
        </w:tc>
        <w:tc>
          <w:tcPr>
            <w:tcW w:w="5670" w:type="dxa"/>
            <w:tcBorders>
              <w:top w:val="single" w:sz="4" w:space="0" w:color="auto"/>
              <w:left w:val="single" w:sz="4" w:space="0" w:color="auto"/>
              <w:bottom w:val="single" w:sz="4" w:space="0" w:color="auto"/>
              <w:right w:val="single" w:sz="4" w:space="0" w:color="auto"/>
            </w:tcBorders>
            <w:vAlign w:val="center"/>
          </w:tcPr>
          <w:p w14:paraId="57652626" w14:textId="2816A46E" w:rsidR="00CE0BF0" w:rsidRPr="007D78BE" w:rsidRDefault="007D78BE" w:rsidP="007A093E">
            <w:pPr>
              <w:spacing w:before="60" w:after="60"/>
              <w:jc w:val="center"/>
              <w:rPr>
                <w:rFonts w:ascii="Arial" w:hAnsi="Arial" w:cs="Arial"/>
                <w:sz w:val="20"/>
                <w:szCs w:val="20"/>
              </w:rPr>
            </w:pPr>
            <w:r w:rsidRPr="007D78BE">
              <w:rPr>
                <w:rFonts w:ascii="Arial" w:hAnsi="Arial" w:cs="Arial"/>
                <w:sz w:val="20"/>
                <w:szCs w:val="20"/>
              </w:rPr>
              <w:t xml:space="preserve">Observaciones Interventoría </w:t>
            </w:r>
          </w:p>
        </w:tc>
        <w:tc>
          <w:tcPr>
            <w:tcW w:w="1135" w:type="dxa"/>
            <w:tcBorders>
              <w:top w:val="single" w:sz="4" w:space="0" w:color="auto"/>
              <w:left w:val="single" w:sz="4" w:space="0" w:color="auto"/>
              <w:bottom w:val="single" w:sz="4" w:space="0" w:color="auto"/>
              <w:right w:val="single" w:sz="4" w:space="0" w:color="auto"/>
            </w:tcBorders>
            <w:vAlign w:val="center"/>
          </w:tcPr>
          <w:p w14:paraId="5E755E10" w14:textId="07AEDBF1" w:rsidR="00CE0BF0" w:rsidRPr="007D78BE" w:rsidRDefault="007D78BE" w:rsidP="007A093E">
            <w:pPr>
              <w:spacing w:before="60" w:after="60"/>
              <w:jc w:val="center"/>
              <w:rPr>
                <w:rFonts w:ascii="Arial" w:hAnsi="Arial" w:cs="Arial"/>
                <w:sz w:val="20"/>
                <w:szCs w:val="20"/>
              </w:rPr>
            </w:pPr>
            <w:r w:rsidRPr="007D78BE">
              <w:rPr>
                <w:rFonts w:ascii="Arial" w:hAnsi="Arial" w:cs="Arial"/>
                <w:sz w:val="20"/>
                <w:szCs w:val="20"/>
              </w:rPr>
              <w:t>8</w:t>
            </w:r>
          </w:p>
        </w:tc>
      </w:tr>
      <w:tr w:rsidR="00CE0BF0" w:rsidRPr="004F726D" w14:paraId="2AA0228C" w14:textId="77777777" w:rsidTr="00333EDA">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287C27FA" w14:textId="77777777" w:rsidR="00CE0BF0" w:rsidRPr="004F726D" w:rsidRDefault="00CE0BF0" w:rsidP="007A093E">
            <w:pPr>
              <w:spacing w:before="60" w:after="6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3E165FC9" w14:textId="77777777" w:rsidR="00CE0BF0" w:rsidRPr="004F726D" w:rsidRDefault="00CE0BF0" w:rsidP="007A093E">
            <w:pPr>
              <w:spacing w:before="60" w:after="60"/>
              <w:jc w:val="center"/>
              <w:rPr>
                <w:rFonts w:ascii="Arial" w:hAnsi="Arial" w:cs="Arial"/>
              </w:rPr>
            </w:pPr>
          </w:p>
        </w:tc>
        <w:tc>
          <w:tcPr>
            <w:tcW w:w="5670" w:type="dxa"/>
            <w:tcBorders>
              <w:top w:val="single" w:sz="4" w:space="0" w:color="auto"/>
              <w:left w:val="single" w:sz="4" w:space="0" w:color="auto"/>
              <w:bottom w:val="single" w:sz="4" w:space="0" w:color="auto"/>
              <w:right w:val="single" w:sz="4" w:space="0" w:color="auto"/>
            </w:tcBorders>
            <w:vAlign w:val="center"/>
          </w:tcPr>
          <w:p w14:paraId="7B65842C" w14:textId="77777777" w:rsidR="00CE0BF0" w:rsidRPr="004F726D" w:rsidRDefault="00CE0BF0" w:rsidP="007A093E">
            <w:pPr>
              <w:spacing w:before="60" w:after="60"/>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vAlign w:val="center"/>
          </w:tcPr>
          <w:p w14:paraId="008C8A3E" w14:textId="77777777" w:rsidR="00CE0BF0" w:rsidRPr="004F726D" w:rsidRDefault="00CE0BF0" w:rsidP="007A093E">
            <w:pPr>
              <w:spacing w:before="60" w:after="60"/>
              <w:jc w:val="center"/>
              <w:rPr>
                <w:rFonts w:ascii="Arial" w:hAnsi="Arial" w:cs="Arial"/>
              </w:rPr>
            </w:pPr>
          </w:p>
        </w:tc>
      </w:tr>
    </w:tbl>
    <w:p w14:paraId="5C5A2D46" w14:textId="77777777" w:rsidR="00CE0BF0" w:rsidRPr="004F726D" w:rsidRDefault="00CE0BF0" w:rsidP="00CE0BF0">
      <w:pPr>
        <w:autoSpaceDE w:val="0"/>
        <w:autoSpaceDN w:val="0"/>
        <w:adjustRightInd w:val="0"/>
        <w:rPr>
          <w:rFonts w:ascii="Arial" w:hAnsi="Arial" w:cs="Arial"/>
          <w:color w:val="000000"/>
        </w:rPr>
      </w:pPr>
    </w:p>
    <w:p w14:paraId="2EEAE812" w14:textId="77777777" w:rsidR="00433806" w:rsidRPr="004F726D" w:rsidRDefault="00433806" w:rsidP="00433806">
      <w:pPr>
        <w:widowControl w:val="0"/>
        <w:rPr>
          <w:rFonts w:ascii="Arial" w:hAnsi="Arial" w:cs="Arial"/>
          <w:b/>
        </w:rPr>
      </w:pPr>
    </w:p>
    <w:p w14:paraId="04D5D2E2" w14:textId="77777777" w:rsidR="00433806" w:rsidRPr="004F726D" w:rsidRDefault="00433806" w:rsidP="00433806">
      <w:pPr>
        <w:widowControl w:val="0"/>
        <w:rPr>
          <w:rFonts w:ascii="Arial" w:hAnsi="Arial" w:cs="Arial"/>
          <w:b/>
        </w:rPr>
      </w:pPr>
    </w:p>
    <w:p w14:paraId="1A07E180" w14:textId="77777777" w:rsidR="00433806" w:rsidRPr="004F726D" w:rsidRDefault="00433806" w:rsidP="00433806">
      <w:pPr>
        <w:widowControl w:val="0"/>
        <w:rPr>
          <w:rFonts w:ascii="Arial" w:hAnsi="Arial" w:cs="Arial"/>
          <w:b/>
        </w:rPr>
      </w:pPr>
    </w:p>
    <w:p w14:paraId="3B62A439" w14:textId="77777777" w:rsidR="00433806" w:rsidRDefault="00433806" w:rsidP="00433806">
      <w:pPr>
        <w:rPr>
          <w:rFonts w:ascii="Arial" w:hAnsi="Arial" w:cs="Arial"/>
          <w:b/>
          <w:bCs/>
          <w:color w:val="000000"/>
        </w:rPr>
      </w:pPr>
      <w:r>
        <w:rPr>
          <w:rFonts w:ascii="Arial" w:hAnsi="Arial" w:cs="Arial"/>
          <w:b/>
          <w:bCs/>
          <w:color w:val="000000"/>
        </w:rPr>
        <w:br w:type="page"/>
      </w:r>
    </w:p>
    <w:p w14:paraId="2F5D5D37" w14:textId="66DE8CB0" w:rsidR="00B55E0D" w:rsidRPr="00B55E0D" w:rsidRDefault="00B55E0D" w:rsidP="00433806">
      <w:pPr>
        <w:pStyle w:val="Ttulo1"/>
        <w:numPr>
          <w:ilvl w:val="0"/>
          <w:numId w:val="0"/>
        </w:numPr>
        <w:spacing w:before="0" w:after="0"/>
        <w:ind w:left="720" w:hanging="360"/>
        <w:jc w:val="both"/>
        <w:rPr>
          <w:rFonts w:cs="Arial"/>
          <w:sz w:val="22"/>
          <w:szCs w:val="22"/>
        </w:rPr>
      </w:pPr>
      <w:bookmarkStart w:id="5" w:name="_Toc502047825"/>
      <w:bookmarkStart w:id="6" w:name="_Toc50351538"/>
      <w:bookmarkStart w:id="7" w:name="_Toc50352860"/>
      <w:bookmarkStart w:id="8" w:name="_Ref53190647"/>
      <w:bookmarkStart w:id="9" w:name="_Ref53190750"/>
      <w:bookmarkStart w:id="10" w:name="_Ref53190802"/>
      <w:bookmarkStart w:id="11" w:name="_Ref53190810"/>
      <w:bookmarkStart w:id="12" w:name="_Ref53190884"/>
      <w:bookmarkStart w:id="13" w:name="_Ref53190916"/>
      <w:bookmarkStart w:id="14" w:name="_Ref53191005"/>
      <w:bookmarkStart w:id="15" w:name="_Ref53191035"/>
      <w:bookmarkStart w:id="16" w:name="_Toc75919684"/>
      <w:r w:rsidRPr="00B55E0D">
        <w:rPr>
          <w:rFonts w:cs="Arial"/>
          <w:sz w:val="22"/>
          <w:szCs w:val="22"/>
        </w:rPr>
        <w:lastRenderedPageBreak/>
        <w:t>ANEXO</w:t>
      </w:r>
      <w:r w:rsidR="00433806">
        <w:rPr>
          <w:rFonts w:cs="Arial"/>
          <w:sz w:val="22"/>
          <w:szCs w:val="22"/>
        </w:rPr>
        <w:t>.</w:t>
      </w:r>
      <w:r w:rsidRPr="00B55E0D">
        <w:rPr>
          <w:rFonts w:cs="Arial"/>
          <w:sz w:val="22"/>
          <w:szCs w:val="22"/>
        </w:rPr>
        <w:t xml:space="preserve"> BIBLIOGRAFIA</w:t>
      </w:r>
      <w:bookmarkEnd w:id="5"/>
    </w:p>
    <w:bookmarkEnd w:id="6"/>
    <w:bookmarkEnd w:id="7"/>
    <w:bookmarkEnd w:id="8"/>
    <w:bookmarkEnd w:id="9"/>
    <w:bookmarkEnd w:id="10"/>
    <w:bookmarkEnd w:id="11"/>
    <w:bookmarkEnd w:id="12"/>
    <w:bookmarkEnd w:id="13"/>
    <w:bookmarkEnd w:id="14"/>
    <w:bookmarkEnd w:id="15"/>
    <w:bookmarkEnd w:id="16"/>
    <w:p w14:paraId="2BCDDA9A" w14:textId="77777777" w:rsidR="00B55E0D" w:rsidRPr="00B55E0D" w:rsidRDefault="00B55E0D" w:rsidP="00B55E0D">
      <w:pPr>
        <w:jc w:val="both"/>
        <w:rPr>
          <w:rFonts w:ascii="Arial" w:hAnsi="Arial" w:cs="Arial"/>
        </w:rPr>
      </w:pPr>
    </w:p>
    <w:p w14:paraId="1C2EAEE0" w14:textId="77777777" w:rsidR="00B55E0D" w:rsidRPr="00B55E0D" w:rsidRDefault="00B55E0D" w:rsidP="00B55E0D">
      <w:pPr>
        <w:jc w:val="both"/>
        <w:rPr>
          <w:rFonts w:ascii="Arial" w:eastAsia="Calibri" w:hAnsi="Arial" w:cs="Arial"/>
          <w:lang w:val="es-ES" w:eastAsia="es-CO"/>
        </w:rPr>
      </w:pPr>
      <w:r w:rsidRPr="00B55E0D">
        <w:rPr>
          <w:rFonts w:ascii="Arial" w:eastAsia="Calibri" w:hAnsi="Arial" w:cs="Arial"/>
          <w:lang w:val="es-ES" w:eastAsia="es-CO"/>
        </w:rPr>
        <w:t xml:space="preserve">ABO (2000). </w:t>
      </w:r>
      <w:r w:rsidRPr="00B55E0D">
        <w:rPr>
          <w:rFonts w:ascii="Arial" w:eastAsia="Calibri" w:hAnsi="Arial" w:cs="Arial"/>
          <w:i/>
          <w:iCs/>
          <w:lang w:val="es-ES" w:eastAsia="es-CO"/>
        </w:rPr>
        <w:t>Aves de la Sabana de Bogotá</w:t>
      </w:r>
      <w:r w:rsidRPr="00B55E0D">
        <w:rPr>
          <w:rFonts w:ascii="Arial" w:eastAsia="Calibri" w:hAnsi="Arial" w:cs="Arial"/>
          <w:lang w:val="es-ES" w:eastAsia="es-CO"/>
        </w:rPr>
        <w:t>. Bogotá: ABO.</w:t>
      </w:r>
    </w:p>
    <w:p w14:paraId="43A39E2F" w14:textId="77777777" w:rsidR="00B55E0D" w:rsidRPr="00B55E0D" w:rsidRDefault="00B55E0D" w:rsidP="00B55E0D">
      <w:pPr>
        <w:jc w:val="both"/>
        <w:rPr>
          <w:rFonts w:ascii="Arial" w:hAnsi="Arial" w:cs="Arial"/>
        </w:rPr>
      </w:pPr>
      <w:r w:rsidRPr="00B55E0D">
        <w:rPr>
          <w:rFonts w:ascii="Arial" w:hAnsi="Arial" w:cs="Arial"/>
        </w:rPr>
        <w:t>Agudelo-Álvarez, L.G. (2007). Evaluación del Canal Molinos como un corredor para las aves de la ciudad de Bogotá (trabajo de grado). Bogotá: Carrera de Biología, Pontificia Universidad Javeriana.</w:t>
      </w:r>
    </w:p>
    <w:p w14:paraId="2F1F5C04" w14:textId="77777777" w:rsidR="00B55E0D" w:rsidRPr="00B55E0D" w:rsidRDefault="00B55E0D" w:rsidP="00B55E0D">
      <w:pPr>
        <w:jc w:val="both"/>
        <w:rPr>
          <w:rFonts w:ascii="Arial" w:hAnsi="Arial" w:cs="Arial"/>
        </w:rPr>
      </w:pPr>
      <w:r w:rsidRPr="00B55E0D">
        <w:rPr>
          <w:rFonts w:ascii="Arial" w:hAnsi="Arial" w:cs="Arial"/>
        </w:rPr>
        <w:t>Alcaldía Mayor de Bogotá D.C - Instituto de Desarrollo Urbano (2005). Guía de Manejo Ambiental. Para el desarrollo de proyectos de Infraestructura Urbana en Bogotá D.C. p. 203.</w:t>
      </w:r>
    </w:p>
    <w:p w14:paraId="37675FA1" w14:textId="77777777" w:rsidR="00B55E0D" w:rsidRPr="00B55E0D" w:rsidRDefault="00B55E0D" w:rsidP="00B55E0D">
      <w:pPr>
        <w:jc w:val="both"/>
        <w:rPr>
          <w:rFonts w:ascii="Arial" w:hAnsi="Arial" w:cs="Arial"/>
        </w:rPr>
      </w:pPr>
      <w:r w:rsidRPr="00B55E0D">
        <w:rPr>
          <w:rFonts w:ascii="Arial" w:hAnsi="Arial" w:cs="Arial"/>
        </w:rPr>
        <w:t>Alcaldía Mayor de Bogotá, D. C. (2008). Manual de silvicultura urbana para Bogotá. Bogotá, Colombia: Jardín Botánico de Bogotá José Celestino Mutis.</w:t>
      </w:r>
    </w:p>
    <w:p w14:paraId="2358FA93" w14:textId="77777777" w:rsidR="00B55E0D" w:rsidRPr="00B55E0D" w:rsidRDefault="00B55E0D" w:rsidP="00B55E0D">
      <w:pPr>
        <w:jc w:val="both"/>
        <w:rPr>
          <w:rFonts w:ascii="Arial" w:hAnsi="Arial" w:cs="Arial"/>
        </w:rPr>
      </w:pPr>
      <w:r w:rsidRPr="00B55E0D">
        <w:rPr>
          <w:rFonts w:ascii="Arial" w:hAnsi="Arial" w:cs="Arial"/>
        </w:rPr>
        <w:t>Alcaldía Mayor de Bogotá.   Decreto 190 de 2004 POT de Bogotá.</w:t>
      </w:r>
    </w:p>
    <w:p w14:paraId="17ED0D5C" w14:textId="77777777" w:rsidR="00B55E0D" w:rsidRPr="00B55E0D" w:rsidRDefault="00B55E0D" w:rsidP="00B55E0D">
      <w:pPr>
        <w:jc w:val="both"/>
        <w:rPr>
          <w:rFonts w:ascii="Arial" w:hAnsi="Arial" w:cs="Arial"/>
        </w:rPr>
      </w:pPr>
      <w:r w:rsidRPr="00B55E0D">
        <w:rPr>
          <w:rFonts w:ascii="Arial" w:hAnsi="Arial" w:cs="Arial"/>
        </w:rPr>
        <w:t>Alcaldía Mayor de Bogotá. Decreto 523 de 2010.  Microzonificación Sísmica de Santafé de Bogotá.</w:t>
      </w:r>
    </w:p>
    <w:p w14:paraId="60FA09B5" w14:textId="77777777" w:rsidR="00B55E0D" w:rsidRPr="00B55E0D" w:rsidRDefault="00B55E0D" w:rsidP="00B55E0D">
      <w:pPr>
        <w:autoSpaceDE w:val="0"/>
        <w:autoSpaceDN w:val="0"/>
        <w:adjustRightInd w:val="0"/>
        <w:jc w:val="both"/>
        <w:rPr>
          <w:rFonts w:ascii="Arial" w:eastAsia="Calibri" w:hAnsi="Arial" w:cs="Arial"/>
          <w:lang w:val="en-US" w:eastAsia="es-CO"/>
        </w:rPr>
      </w:pPr>
      <w:r w:rsidRPr="00B55E0D">
        <w:rPr>
          <w:rFonts w:ascii="Arial" w:eastAsia="Calibri" w:hAnsi="Arial" w:cs="Arial"/>
          <w:lang w:val="en-US" w:eastAsia="es-CO"/>
        </w:rPr>
        <w:t xml:space="preserve">BirdLife International (2004). </w:t>
      </w:r>
      <w:r w:rsidRPr="00B55E0D">
        <w:rPr>
          <w:rFonts w:ascii="Arial" w:eastAsia="Calibri" w:hAnsi="Arial" w:cs="Arial"/>
          <w:i/>
          <w:iCs/>
          <w:lang w:val="en-US" w:eastAsia="es-CO"/>
        </w:rPr>
        <w:t>Globally threatened birds indicating priorities for action</w:t>
      </w:r>
      <w:r w:rsidRPr="00B55E0D">
        <w:rPr>
          <w:rFonts w:ascii="Arial" w:eastAsia="Calibri" w:hAnsi="Arial" w:cs="Arial"/>
          <w:lang w:val="en-US" w:eastAsia="es-CO"/>
        </w:rPr>
        <w:t>. Cambridge, UK: BirdLife International.</w:t>
      </w:r>
    </w:p>
    <w:p w14:paraId="5ED0F9A5" w14:textId="77777777" w:rsidR="00B55E0D" w:rsidRPr="00B55E0D" w:rsidRDefault="00B55E0D" w:rsidP="00B55E0D">
      <w:pPr>
        <w:autoSpaceDE w:val="0"/>
        <w:autoSpaceDN w:val="0"/>
        <w:adjustRightInd w:val="0"/>
        <w:jc w:val="both"/>
        <w:rPr>
          <w:rFonts w:ascii="Arial" w:hAnsi="Arial" w:cs="Arial"/>
        </w:rPr>
      </w:pPr>
      <w:r w:rsidRPr="00B55E0D">
        <w:rPr>
          <w:rFonts w:ascii="Arial" w:hAnsi="Arial" w:cs="Arial"/>
          <w:lang w:val="en-US"/>
        </w:rPr>
        <w:t xml:space="preserve">BirdLife International (2016). Endemic Bird Area factsheet: Colombian East Andes. </w:t>
      </w:r>
      <w:r w:rsidRPr="00B55E0D">
        <w:rPr>
          <w:rFonts w:ascii="Arial" w:hAnsi="Arial" w:cs="Arial"/>
        </w:rPr>
        <w:t xml:space="preserve">2016. Disponible en: </w:t>
      </w:r>
      <w:hyperlink r:id="rId14" w:history="1">
        <w:r w:rsidRPr="00B55E0D">
          <w:rPr>
            <w:rStyle w:val="Hipervnculo"/>
            <w:rFonts w:ascii="Arial" w:hAnsi="Arial" w:cs="Arial"/>
          </w:rPr>
          <w:t>http://www.birdlife.org</w:t>
        </w:r>
      </w:hyperlink>
      <w:r w:rsidRPr="00B55E0D">
        <w:rPr>
          <w:rFonts w:ascii="Arial" w:hAnsi="Arial" w:cs="Arial"/>
        </w:rPr>
        <w:t xml:space="preserve">. </w:t>
      </w:r>
    </w:p>
    <w:p w14:paraId="0CDC2EB6" w14:textId="77777777" w:rsidR="00B55E0D" w:rsidRPr="00B55E0D" w:rsidRDefault="00B55E0D" w:rsidP="00B55E0D">
      <w:pPr>
        <w:jc w:val="both"/>
        <w:rPr>
          <w:rFonts w:ascii="Arial" w:hAnsi="Arial" w:cs="Arial"/>
        </w:rPr>
      </w:pPr>
      <w:r w:rsidRPr="00B55E0D">
        <w:rPr>
          <w:rFonts w:ascii="Arial" w:hAnsi="Arial" w:cs="Arial"/>
        </w:rPr>
        <w:t>Bohórquez, D. C. (2013). Determinación del Potencial de Restauración Ecológica en el Parque Nacional Enrique Olaya Herrera, II Etapa. Colombia Forestal, 16(2), 200-215.</w:t>
      </w:r>
    </w:p>
    <w:p w14:paraId="60586D2F" w14:textId="77777777" w:rsidR="00B55E0D" w:rsidRPr="00B55E0D" w:rsidRDefault="00B55E0D" w:rsidP="00B55E0D">
      <w:pPr>
        <w:jc w:val="both"/>
        <w:rPr>
          <w:rFonts w:ascii="Arial" w:hAnsi="Arial" w:cs="Arial"/>
        </w:rPr>
      </w:pPr>
      <w:r w:rsidRPr="00B55E0D">
        <w:rPr>
          <w:rFonts w:ascii="Arial" w:hAnsi="Arial" w:cs="Arial"/>
          <w:shd w:val="clear" w:color="auto" w:fill="FFFFFF"/>
        </w:rPr>
        <w:t>Bohórquez-Alfonso, I. A. (2013). De arriba para abajo: la discusión de los cerros orientales de Bogotá, entre lo ambiental y lo urbano. </w:t>
      </w:r>
      <w:r w:rsidRPr="00B55E0D">
        <w:rPr>
          <w:rFonts w:ascii="Arial" w:hAnsi="Arial" w:cs="Arial"/>
          <w:i/>
          <w:iCs/>
          <w:shd w:val="clear" w:color="auto" w:fill="FFFFFF"/>
        </w:rPr>
        <w:t>Cuadernos de Vivienda y urbanismo</w:t>
      </w:r>
      <w:r w:rsidRPr="00B55E0D">
        <w:rPr>
          <w:rFonts w:ascii="Arial" w:hAnsi="Arial" w:cs="Arial"/>
          <w:shd w:val="clear" w:color="auto" w:fill="FFFFFF"/>
        </w:rPr>
        <w:t>, </w:t>
      </w:r>
      <w:r w:rsidRPr="00B55E0D">
        <w:rPr>
          <w:rFonts w:ascii="Arial" w:hAnsi="Arial" w:cs="Arial"/>
          <w:i/>
          <w:iCs/>
          <w:shd w:val="clear" w:color="auto" w:fill="FFFFFF"/>
        </w:rPr>
        <w:t>1</w:t>
      </w:r>
      <w:r w:rsidRPr="00B55E0D">
        <w:rPr>
          <w:rFonts w:ascii="Arial" w:hAnsi="Arial" w:cs="Arial"/>
          <w:shd w:val="clear" w:color="auto" w:fill="FFFFFF"/>
        </w:rPr>
        <w:t>(1).</w:t>
      </w:r>
    </w:p>
    <w:p w14:paraId="2684478B" w14:textId="77777777" w:rsidR="00B55E0D" w:rsidRPr="00B55E0D" w:rsidRDefault="00B55E0D" w:rsidP="00B55E0D">
      <w:pPr>
        <w:jc w:val="both"/>
        <w:rPr>
          <w:rFonts w:ascii="Arial" w:hAnsi="Arial" w:cs="Arial"/>
        </w:rPr>
      </w:pPr>
      <w:r w:rsidRPr="00B55E0D">
        <w:rPr>
          <w:rFonts w:ascii="Arial" w:hAnsi="Arial" w:cs="Arial"/>
        </w:rPr>
        <w:t xml:space="preserve">Boletín de Geología (2005). Fallas longitudinales y transversales en la Sabana de Bogotá, Colombia. Vol. 24, No. 39, Velandia Patiño F.A.1, De Bermoudes.  Enero-Junio.  </w:t>
      </w:r>
    </w:p>
    <w:p w14:paraId="52DB87A8" w14:textId="77777777" w:rsidR="00B55E0D" w:rsidRPr="00B55E0D" w:rsidRDefault="00B55E0D" w:rsidP="00B55E0D">
      <w:pPr>
        <w:jc w:val="both"/>
        <w:rPr>
          <w:rFonts w:ascii="Arial" w:hAnsi="Arial" w:cs="Arial"/>
          <w:lang w:val="en-US"/>
        </w:rPr>
      </w:pPr>
      <w:r w:rsidRPr="00B55E0D">
        <w:rPr>
          <w:rFonts w:ascii="Arial" w:hAnsi="Arial" w:cs="Arial"/>
          <w:lang w:val="en-US"/>
        </w:rPr>
        <w:t>Both, C., Artemyev, A. V., Blaauw, B., Cowie, R. J., Dekhuijzen, A. J., &amp; Eeva, T. (2004). Large-scale geographical variation confirms that climate change causes birds to lay earlier. Proc. R. Soc. Lond. B. 271, 1657–1662.</w:t>
      </w:r>
    </w:p>
    <w:p w14:paraId="7AE9BBA4" w14:textId="77777777" w:rsidR="00B55E0D" w:rsidRPr="00B55E0D" w:rsidRDefault="00B55E0D" w:rsidP="00B55E0D">
      <w:pPr>
        <w:jc w:val="both"/>
        <w:rPr>
          <w:rFonts w:ascii="Arial" w:hAnsi="Arial" w:cs="Arial"/>
        </w:rPr>
      </w:pPr>
      <w:r w:rsidRPr="00B55E0D">
        <w:rPr>
          <w:rFonts w:ascii="Arial" w:hAnsi="Arial" w:cs="Arial"/>
          <w:lang w:val="en-US"/>
        </w:rPr>
        <w:t xml:space="preserve">Burns, K. J., Shultz, A. J., Title, P. O., Mason, N. A., Barker, F. K., Klicka, J., ... </w:t>
      </w:r>
      <w:r w:rsidRPr="00B55E0D">
        <w:rPr>
          <w:rFonts w:ascii="Arial" w:hAnsi="Arial" w:cs="Arial"/>
        </w:rPr>
        <w:t xml:space="preserve">&amp; Lovette, I. J. (2014). </w:t>
      </w:r>
    </w:p>
    <w:p w14:paraId="1FC05538" w14:textId="77777777" w:rsidR="00B55E0D" w:rsidRPr="00B55E0D" w:rsidRDefault="00B55E0D" w:rsidP="00B55E0D">
      <w:pPr>
        <w:jc w:val="both"/>
        <w:rPr>
          <w:rFonts w:ascii="Arial" w:hAnsi="Arial" w:cs="Arial"/>
        </w:rPr>
      </w:pPr>
      <w:r w:rsidRPr="00B55E0D">
        <w:rPr>
          <w:rFonts w:ascii="Arial" w:hAnsi="Arial" w:cs="Arial"/>
        </w:rPr>
        <w:t>CAR (2009). Reserva Forestal Protectora Bosque Oriental de Bogotá, Inventario de Fauna. Bogotá D.C. 132 p.</w:t>
      </w:r>
    </w:p>
    <w:p w14:paraId="6BCC98E8" w14:textId="77777777" w:rsidR="00B55E0D" w:rsidRPr="00B55E0D" w:rsidRDefault="00B55E0D" w:rsidP="00B55E0D">
      <w:pPr>
        <w:jc w:val="both"/>
        <w:rPr>
          <w:rFonts w:ascii="Arial" w:hAnsi="Arial" w:cs="Arial"/>
        </w:rPr>
      </w:pPr>
      <w:r w:rsidRPr="00B55E0D">
        <w:rPr>
          <w:rFonts w:ascii="Arial" w:hAnsi="Arial" w:cs="Arial"/>
        </w:rPr>
        <w:t>Congreso de la República. Ley 1523  (2012) Por la cual se adopta la política nacional de gestión del riesgo de desastres y se estable el Sistema Nacional de Gestión del Riesgo de Desastres y se dictan otras disposiciones. Capítulo I;  Artículo 4.</w:t>
      </w:r>
    </w:p>
    <w:p w14:paraId="275F15F9" w14:textId="77777777" w:rsidR="00B55E0D" w:rsidRPr="00B55E0D" w:rsidRDefault="00B55E0D" w:rsidP="00B55E0D">
      <w:pPr>
        <w:jc w:val="both"/>
        <w:rPr>
          <w:rFonts w:ascii="Arial" w:hAnsi="Arial" w:cs="Arial"/>
        </w:rPr>
      </w:pPr>
      <w:r w:rsidRPr="00B55E0D">
        <w:rPr>
          <w:rFonts w:ascii="Arial" w:hAnsi="Arial" w:cs="Arial"/>
        </w:rPr>
        <w:t xml:space="preserve">Congreso de la República. Ley 1523 (24, Abril, 2012). Por la cual se adopta la política nacional de gestión del riesgo de desastres y se establece el Sistema Nacional de </w:t>
      </w:r>
      <w:r w:rsidRPr="00B55E0D">
        <w:rPr>
          <w:rFonts w:ascii="Arial" w:hAnsi="Arial" w:cs="Arial"/>
        </w:rPr>
        <w:lastRenderedPageBreak/>
        <w:t>Gestión del Riesgo de Desastres y se dictan otras disposiciones. Diario oficial No. 48.411, del 24 de abril de 2012. 16p.</w:t>
      </w:r>
    </w:p>
    <w:p w14:paraId="32323CC3" w14:textId="77777777" w:rsidR="00B55E0D" w:rsidRPr="00B55E0D" w:rsidRDefault="00B55E0D" w:rsidP="00B55E0D">
      <w:pPr>
        <w:jc w:val="both"/>
        <w:rPr>
          <w:rFonts w:ascii="Arial" w:hAnsi="Arial" w:cs="Arial"/>
        </w:rPr>
      </w:pPr>
      <w:r w:rsidRPr="00B55E0D">
        <w:rPr>
          <w:rFonts w:ascii="Arial" w:hAnsi="Arial" w:cs="Arial"/>
        </w:rPr>
        <w:t xml:space="preserve">Consorcio DIN-SEDIC. Estudios de factibilidad técnica (2005).  </w:t>
      </w:r>
    </w:p>
    <w:p w14:paraId="799C849E" w14:textId="77777777" w:rsidR="00B55E0D" w:rsidRPr="00B55E0D" w:rsidRDefault="00B55E0D" w:rsidP="00B55E0D">
      <w:pPr>
        <w:jc w:val="both"/>
        <w:rPr>
          <w:rFonts w:ascii="Arial" w:hAnsi="Arial" w:cs="Arial"/>
          <w:lang w:val="es-MX" w:bidi="he-IL"/>
        </w:rPr>
      </w:pPr>
      <w:r w:rsidRPr="00B55E0D">
        <w:rPr>
          <w:rFonts w:ascii="Arial" w:hAnsi="Arial" w:cs="Arial"/>
          <w:lang w:val="es-MX" w:bidi="he-IL"/>
        </w:rPr>
        <w:t>Consorcio P.S.I. - A.I.M (1999): Estudios de Aspectos Técnicos para el Diseño y Construcción de la Primera Línea del Metro. Los estudios del Consorcio PSI - AIM solamente cubren para efectos de este informe el tramo de la carrera 7ª desde la calle 34 hasta la calle 72 y el tramo adicional de la calle 72 entre carreras 7ª y Avenida Caracas que conectará el sistema TransMilenio de la Troncal carrera 7ª con el existente de la Avenida Caracas.</w:t>
      </w:r>
    </w:p>
    <w:p w14:paraId="6AD62CCC" w14:textId="77777777" w:rsidR="00B55E0D" w:rsidRPr="00B55E0D" w:rsidRDefault="00B55E0D" w:rsidP="00B55E0D">
      <w:pPr>
        <w:jc w:val="both"/>
        <w:rPr>
          <w:rFonts w:ascii="Arial" w:hAnsi="Arial" w:cs="Arial"/>
        </w:rPr>
      </w:pPr>
      <w:r w:rsidRPr="00B55E0D">
        <w:rPr>
          <w:rFonts w:ascii="Arial" w:hAnsi="Arial" w:cs="Arial"/>
        </w:rPr>
        <w:t>CONVENIO 01-93 UPES. Proyecto de Microzonificación Sísmica de Santafé de Bogotá, Informe y Mapa Geológico de Santafé de Bogotá a escala 1:50.000, 1997.</w:t>
      </w:r>
    </w:p>
    <w:p w14:paraId="1F292C2B" w14:textId="5F46E871" w:rsidR="007614A0" w:rsidRDefault="007614A0" w:rsidP="007614A0">
      <w:pPr>
        <w:jc w:val="both"/>
        <w:rPr>
          <w:rFonts w:ascii="Arial" w:hAnsi="Arial" w:cs="Arial"/>
        </w:rPr>
      </w:pPr>
      <w:r>
        <w:rPr>
          <w:rFonts w:ascii="Arial" w:hAnsi="Arial" w:cs="Arial"/>
        </w:rPr>
        <w:t xml:space="preserve">DADEP. </w:t>
      </w:r>
      <w:r w:rsidRPr="007614A0">
        <w:rPr>
          <w:rFonts w:ascii="Arial" w:hAnsi="Arial" w:cs="Arial"/>
        </w:rPr>
        <w:t>ZONIFICACIÓN DE LA RESPUESTA SÍSMICA DE BOGOTÁ PARA EL DISEÑO</w:t>
      </w:r>
      <w:r>
        <w:rPr>
          <w:rFonts w:ascii="Arial" w:hAnsi="Arial" w:cs="Arial"/>
        </w:rPr>
        <w:t xml:space="preserve"> </w:t>
      </w:r>
      <w:r w:rsidRPr="007614A0">
        <w:rPr>
          <w:rFonts w:ascii="Arial" w:hAnsi="Arial" w:cs="Arial"/>
        </w:rPr>
        <w:t>SISMO RESISTENTE DE EDIFICACIONES</w:t>
      </w:r>
      <w:r>
        <w:rPr>
          <w:rFonts w:ascii="Arial" w:hAnsi="Arial" w:cs="Arial"/>
        </w:rPr>
        <w:t>. Informe Final. Bogotá, Octubre de 2010.</w:t>
      </w:r>
    </w:p>
    <w:p w14:paraId="4201B5A4" w14:textId="7CCEA8A8" w:rsidR="00B55E0D" w:rsidRPr="00B55E0D" w:rsidRDefault="00B55E0D" w:rsidP="00B55E0D">
      <w:pPr>
        <w:jc w:val="both"/>
        <w:rPr>
          <w:rFonts w:ascii="Arial" w:hAnsi="Arial" w:cs="Arial"/>
        </w:rPr>
      </w:pPr>
      <w:r w:rsidRPr="00B55E0D">
        <w:rPr>
          <w:rFonts w:ascii="Arial" w:hAnsi="Arial" w:cs="Arial"/>
        </w:rPr>
        <w:t>DAMA. (1998). Las flores de los jardines de Santa Fe de Bogotá. Bogotá D.C. 193 p</w:t>
      </w:r>
    </w:p>
    <w:p w14:paraId="56A228A6" w14:textId="77777777" w:rsidR="00B55E0D" w:rsidRPr="00B55E0D" w:rsidRDefault="00B55E0D" w:rsidP="00B55E0D">
      <w:pPr>
        <w:pStyle w:val="Textonotapie"/>
        <w:rPr>
          <w:rFonts w:cs="Arial"/>
          <w:sz w:val="22"/>
          <w:szCs w:val="22"/>
        </w:rPr>
      </w:pPr>
    </w:p>
    <w:p w14:paraId="25FE3A81" w14:textId="77777777" w:rsidR="00B55E0D" w:rsidRPr="00B55E0D" w:rsidRDefault="00B55E0D" w:rsidP="00B55E0D">
      <w:pPr>
        <w:pStyle w:val="Textonotapie"/>
        <w:rPr>
          <w:rFonts w:cs="Arial"/>
          <w:sz w:val="22"/>
          <w:szCs w:val="22"/>
        </w:rPr>
      </w:pPr>
      <w:r w:rsidRPr="00B55E0D">
        <w:rPr>
          <w:rFonts w:cs="Arial"/>
          <w:sz w:val="22"/>
          <w:szCs w:val="22"/>
        </w:rPr>
        <w:t>DECRETO 523. Microzonificación sísmica de Bogotá D.C., 2010.</w:t>
      </w:r>
    </w:p>
    <w:p w14:paraId="2517244E" w14:textId="77777777" w:rsidR="00B55E0D" w:rsidRPr="00B55E0D" w:rsidRDefault="00B55E0D" w:rsidP="00B55E0D">
      <w:pPr>
        <w:jc w:val="both"/>
        <w:rPr>
          <w:rFonts w:ascii="Arial" w:hAnsi="Arial" w:cs="Arial"/>
          <w:shd w:val="clear" w:color="auto" w:fill="FFFFFF"/>
        </w:rPr>
      </w:pPr>
    </w:p>
    <w:p w14:paraId="03D89C15" w14:textId="77777777" w:rsidR="00B55E0D" w:rsidRPr="00B55E0D" w:rsidRDefault="00B55E0D" w:rsidP="00B55E0D">
      <w:pPr>
        <w:jc w:val="both"/>
        <w:rPr>
          <w:rFonts w:ascii="Arial" w:hAnsi="Arial" w:cs="Arial"/>
          <w:shd w:val="clear" w:color="auto" w:fill="FFFFFF"/>
        </w:rPr>
      </w:pPr>
      <w:r w:rsidRPr="00B55E0D">
        <w:rPr>
          <w:rFonts w:ascii="Arial" w:hAnsi="Arial" w:cs="Arial"/>
          <w:shd w:val="clear" w:color="auto" w:fill="FFFFFF"/>
        </w:rPr>
        <w:t>Departamento Administrativo Nacional de Estadística “DANE” 2006. Manual del censista y auxiliar, censo del árbol urbano de Bogotá. Bogotá, Colombia.</w:t>
      </w:r>
    </w:p>
    <w:p w14:paraId="1C8F6245" w14:textId="77777777" w:rsidR="00B55E0D" w:rsidRPr="00B55E0D" w:rsidRDefault="00B55E0D" w:rsidP="00B55E0D">
      <w:pPr>
        <w:jc w:val="both"/>
        <w:rPr>
          <w:rFonts w:ascii="Arial" w:hAnsi="Arial" w:cs="Arial"/>
        </w:rPr>
      </w:pPr>
      <w:r w:rsidRPr="00B55E0D">
        <w:rPr>
          <w:rFonts w:ascii="Arial" w:hAnsi="Arial" w:cs="Arial"/>
        </w:rPr>
        <w:t>Departamento Técnico Administrativo del Medio Ambiente “DAMA”. Manual de arborización urbana. Bogotá, Colombia.</w:t>
      </w:r>
    </w:p>
    <w:p w14:paraId="4659FE1B" w14:textId="77777777" w:rsidR="00B55E0D" w:rsidRPr="00B55E0D" w:rsidRDefault="00B55E0D" w:rsidP="00B55E0D">
      <w:pPr>
        <w:jc w:val="both"/>
        <w:rPr>
          <w:rFonts w:ascii="Arial" w:hAnsi="Arial" w:cs="Arial"/>
        </w:rPr>
      </w:pPr>
      <w:r w:rsidRPr="00B55E0D">
        <w:rPr>
          <w:rFonts w:ascii="Arial" w:hAnsi="Arial" w:cs="Arial"/>
        </w:rPr>
        <w:t>DIN – SEDIC (Contrato IDU 188 de 2004): Estudio de suelos y geotécnicos para los diseños viales y pre diseño del pavimento - Informe final troncal Carrera 7.</w:t>
      </w:r>
    </w:p>
    <w:p w14:paraId="1F9B0651" w14:textId="77777777" w:rsidR="00B55E0D" w:rsidRPr="00B55E0D" w:rsidRDefault="00B55E0D" w:rsidP="00B55E0D">
      <w:pPr>
        <w:jc w:val="both"/>
        <w:rPr>
          <w:rFonts w:ascii="Arial" w:hAnsi="Arial" w:cs="Arial"/>
        </w:rPr>
      </w:pPr>
      <w:r w:rsidRPr="00B55E0D">
        <w:rPr>
          <w:rFonts w:ascii="Arial" w:hAnsi="Arial" w:cs="Arial"/>
        </w:rPr>
        <w:t xml:space="preserve">Donegan, Thomas, Alonso Quevedo, Juan Carlos Verhelst, Oswaldo Cortés-Herrera, Trevor Ellery, y Paul Salaman. </w:t>
      </w:r>
      <w:r w:rsidRPr="00B55E0D">
        <w:rPr>
          <w:rFonts w:ascii="Arial" w:hAnsi="Arial" w:cs="Arial"/>
          <w:lang w:val="en-US"/>
        </w:rPr>
        <w:t xml:space="preserve">(2015). Revision of the Status of Bird Species Occurring or Reported in Colombia 2015, with Discussion of BirdLife International’s New Taxonomy. </w:t>
      </w:r>
      <w:r w:rsidRPr="00B55E0D">
        <w:rPr>
          <w:rFonts w:ascii="Arial" w:hAnsi="Arial" w:cs="Arial"/>
        </w:rPr>
        <w:t>Conservación Colombiana. 23: 3–48.</w:t>
      </w:r>
    </w:p>
    <w:p w14:paraId="65381462" w14:textId="77777777" w:rsidR="00B55E0D" w:rsidRPr="00B55E0D" w:rsidRDefault="00B55E0D" w:rsidP="00B55E0D">
      <w:pPr>
        <w:autoSpaceDE w:val="0"/>
        <w:autoSpaceDN w:val="0"/>
        <w:adjustRightInd w:val="0"/>
        <w:jc w:val="both"/>
        <w:rPr>
          <w:rFonts w:ascii="Arial" w:eastAsia="Calibri" w:hAnsi="Arial" w:cs="Arial"/>
          <w:lang w:val="es-ES" w:eastAsia="es-CO"/>
        </w:rPr>
      </w:pPr>
      <w:r w:rsidRPr="00B55E0D">
        <w:rPr>
          <w:rFonts w:ascii="Arial" w:eastAsia="Calibri" w:hAnsi="Arial" w:cs="Arial"/>
          <w:lang w:val="es-ES" w:eastAsia="es-CO"/>
        </w:rPr>
        <w:t xml:space="preserve">Echeverry, M. A. (2005). Las aves del Jardín Botánico de Bogotá José Celestino Mutis y del Parque Distrital Simón Bolívar: recuento de los últimos ocho años. Revista </w:t>
      </w:r>
      <w:r w:rsidRPr="00B55E0D">
        <w:rPr>
          <w:rFonts w:ascii="Arial" w:eastAsia="Calibri" w:hAnsi="Arial" w:cs="Arial"/>
          <w:i/>
          <w:iCs/>
          <w:lang w:val="es-ES" w:eastAsia="es-CO"/>
        </w:rPr>
        <w:t>Pérez Arbelaezia</w:t>
      </w:r>
      <w:r w:rsidRPr="00B55E0D">
        <w:rPr>
          <w:rFonts w:ascii="Arial" w:eastAsia="Calibri" w:hAnsi="Arial" w:cs="Arial"/>
          <w:lang w:val="es-ES" w:eastAsia="es-CO"/>
        </w:rPr>
        <w:t>, N° 16: 115-133.</w:t>
      </w:r>
    </w:p>
    <w:p w14:paraId="5ABB261F" w14:textId="77777777" w:rsidR="00B55E0D" w:rsidRPr="00B55E0D" w:rsidRDefault="00B55E0D" w:rsidP="00B55E0D">
      <w:pPr>
        <w:jc w:val="both"/>
        <w:rPr>
          <w:rFonts w:ascii="Arial" w:hAnsi="Arial" w:cs="Arial"/>
        </w:rPr>
      </w:pPr>
      <w:r w:rsidRPr="00B55E0D">
        <w:rPr>
          <w:rFonts w:ascii="Arial" w:hAnsi="Arial" w:cs="Arial"/>
        </w:rPr>
        <w:t>ETA S.A (Contrato IDU 207 de 1999). Estudios y diseños de la Carrera Séptima tramo Calle 185 - Calle 200.</w:t>
      </w:r>
    </w:p>
    <w:p w14:paraId="40AA38D1" w14:textId="4C590368" w:rsidR="008655DA" w:rsidRDefault="008655DA" w:rsidP="00B55E0D">
      <w:pPr>
        <w:jc w:val="both"/>
        <w:rPr>
          <w:rFonts w:ascii="Arial" w:hAnsi="Arial" w:cs="Arial"/>
          <w:lang w:val="es-ES_tradnl"/>
        </w:rPr>
      </w:pPr>
      <w:r>
        <w:rPr>
          <w:rFonts w:ascii="Arial" w:hAnsi="Arial" w:cs="Arial"/>
        </w:rPr>
        <w:t xml:space="preserve">Empresa de Acueducto y Alcantarillado de Bogotá. Sistema de Información Geográfica. </w:t>
      </w:r>
      <w:hyperlink r:id="rId15" w:history="1">
        <w:r w:rsidRPr="008D513A">
          <w:rPr>
            <w:rStyle w:val="Hipervnculo"/>
          </w:rPr>
          <w:t>https://eab-sigue.maps.arcgis.com/apps/webappviewer/index.html?id=6ad170bd1cdc450b823bd22d0786431d&amp;scale=40000</w:t>
        </w:r>
      </w:hyperlink>
    </w:p>
    <w:p w14:paraId="4BFF87B6" w14:textId="10845B2B" w:rsidR="00B55E0D" w:rsidRPr="00B55E0D" w:rsidRDefault="00B55E0D" w:rsidP="00B55E0D">
      <w:pPr>
        <w:jc w:val="both"/>
        <w:rPr>
          <w:rFonts w:ascii="Arial" w:hAnsi="Arial" w:cs="Arial"/>
          <w:lang w:val="es-ES_tradnl"/>
        </w:rPr>
      </w:pPr>
      <w:r w:rsidRPr="00B55E0D">
        <w:rPr>
          <w:rFonts w:ascii="Arial" w:hAnsi="Arial" w:cs="Arial"/>
          <w:lang w:val="es-ES_tradnl"/>
        </w:rPr>
        <w:t>Fallas longitudinales y transversales en la Sabana de Bogotá, Colombia.   Boletín de Geología Vol. 24, No. 39, Velandia Patiño F.A.1, De Bermoudes.  Enero-Junio.</w:t>
      </w:r>
    </w:p>
    <w:p w14:paraId="78B36A49" w14:textId="77777777" w:rsidR="00B55E0D" w:rsidRPr="00B55E0D" w:rsidRDefault="00B55E0D" w:rsidP="00B55E0D">
      <w:pPr>
        <w:jc w:val="both"/>
        <w:rPr>
          <w:rFonts w:ascii="Arial" w:hAnsi="Arial" w:cs="Arial"/>
        </w:rPr>
      </w:pPr>
      <w:r w:rsidRPr="00B55E0D">
        <w:rPr>
          <w:rFonts w:ascii="Arial" w:hAnsi="Arial" w:cs="Arial"/>
        </w:rPr>
        <w:lastRenderedPageBreak/>
        <w:t>Fondo de Prevención y Atención de Emergencias. Guía para el desarrollo de simulacros. Bogotá D.C. Julio 2011.</w:t>
      </w:r>
    </w:p>
    <w:p w14:paraId="4EAF6AFE" w14:textId="77777777" w:rsidR="00B55E0D" w:rsidRPr="00B55E0D" w:rsidRDefault="00B55E0D" w:rsidP="00B55E0D">
      <w:pPr>
        <w:jc w:val="both"/>
        <w:rPr>
          <w:rFonts w:ascii="Arial" w:hAnsi="Arial" w:cs="Arial"/>
          <w:lang w:val="en-US"/>
        </w:rPr>
      </w:pPr>
      <w:r w:rsidRPr="00B55E0D">
        <w:rPr>
          <w:rFonts w:ascii="Arial" w:hAnsi="Arial" w:cs="Arial"/>
        </w:rPr>
        <w:t xml:space="preserve">Fondo de Prevención y Atención de Emergencias. </w:t>
      </w:r>
      <w:r w:rsidRPr="00B55E0D">
        <w:rPr>
          <w:rFonts w:ascii="Arial" w:hAnsi="Arial" w:cs="Arial"/>
          <w:lang w:val="en-US"/>
        </w:rPr>
        <w:t>Zonificación respuesta sísmica 2010.</w:t>
      </w:r>
    </w:p>
    <w:p w14:paraId="3AA879D3" w14:textId="77777777" w:rsidR="00B55E0D" w:rsidRPr="00B55E0D" w:rsidRDefault="00B55E0D" w:rsidP="00B55E0D">
      <w:pPr>
        <w:jc w:val="both"/>
        <w:rPr>
          <w:rFonts w:ascii="Arial" w:hAnsi="Arial" w:cs="Arial"/>
        </w:rPr>
      </w:pPr>
      <w:r w:rsidRPr="00B55E0D">
        <w:rPr>
          <w:rFonts w:ascii="Arial" w:hAnsi="Arial" w:cs="Arial"/>
          <w:lang w:val="en-US"/>
        </w:rPr>
        <w:t xml:space="preserve">Grimm, N. B., Chapin, F. S. III, Bierwagen, B., Gonzalez, P., Groffman, P.M., Luo, Y., </w:t>
      </w:r>
      <w:r w:rsidRPr="00B55E0D">
        <w:rPr>
          <w:rFonts w:ascii="Arial" w:hAnsi="Arial" w:cs="Arial"/>
          <w:i/>
          <w:lang w:val="en-US"/>
        </w:rPr>
        <w:t>et al</w:t>
      </w:r>
      <w:r w:rsidRPr="00B55E0D">
        <w:rPr>
          <w:rFonts w:ascii="Arial" w:hAnsi="Arial" w:cs="Arial"/>
          <w:lang w:val="en-US"/>
        </w:rPr>
        <w:t xml:space="preserve">. (2013). The impacts of climate change on ecosystem structure and function. </w:t>
      </w:r>
      <w:r w:rsidRPr="00B55E0D">
        <w:rPr>
          <w:rFonts w:ascii="Arial" w:hAnsi="Arial" w:cs="Arial"/>
        </w:rPr>
        <w:t>Front. Ecol. Environ. 11, 474–482.</w:t>
      </w:r>
    </w:p>
    <w:p w14:paraId="4ADB8AA2" w14:textId="77777777" w:rsidR="00B55E0D" w:rsidRPr="00B55E0D" w:rsidRDefault="00B55E0D" w:rsidP="00B55E0D">
      <w:pPr>
        <w:jc w:val="both"/>
        <w:rPr>
          <w:rFonts w:ascii="Arial" w:hAnsi="Arial" w:cs="Arial"/>
        </w:rPr>
      </w:pPr>
      <w:r w:rsidRPr="00B55E0D">
        <w:rPr>
          <w:rFonts w:ascii="Arial" w:hAnsi="Arial" w:cs="Arial"/>
        </w:rPr>
        <w:t>Grupo Ecomunitario (2017). Lista de chequeo de las aves del Gran Chicó.</w:t>
      </w:r>
    </w:p>
    <w:p w14:paraId="4E6E31E6" w14:textId="77777777" w:rsidR="00B55E0D" w:rsidRPr="00B55E0D" w:rsidRDefault="00B55E0D" w:rsidP="00B55E0D">
      <w:pPr>
        <w:jc w:val="both"/>
        <w:rPr>
          <w:rFonts w:ascii="Arial" w:hAnsi="Arial" w:cs="Arial"/>
          <w:lang w:val="en-US"/>
        </w:rPr>
      </w:pPr>
      <w:r w:rsidRPr="00B55E0D">
        <w:rPr>
          <w:rFonts w:ascii="Arial" w:hAnsi="Arial" w:cs="Arial"/>
          <w:lang w:val="en-US"/>
        </w:rPr>
        <w:t>Hilty, S. L., &amp; Brown, W. L. (1986). Birds of Colombia. Princeton. New Jersey.</w:t>
      </w:r>
    </w:p>
    <w:p w14:paraId="01038359" w14:textId="77777777" w:rsidR="00B55E0D" w:rsidRPr="00B55E0D" w:rsidRDefault="00B55E0D" w:rsidP="00B55E0D">
      <w:pPr>
        <w:jc w:val="both"/>
        <w:rPr>
          <w:rFonts w:ascii="Arial" w:hAnsi="Arial" w:cs="Arial"/>
        </w:rPr>
      </w:pPr>
      <w:r w:rsidRPr="00B55E0D">
        <w:rPr>
          <w:rFonts w:ascii="Arial" w:hAnsi="Arial" w:cs="Arial"/>
        </w:rPr>
        <w:t>ICONTEC. NORMA TECNICA COLOMBIANA NTC 5254. GESTIÓN DEL RIESGO</w:t>
      </w:r>
    </w:p>
    <w:p w14:paraId="70AC7FAA" w14:textId="77777777" w:rsidR="00B55E0D" w:rsidRPr="00B55E0D" w:rsidRDefault="00B55E0D" w:rsidP="00B55E0D">
      <w:pPr>
        <w:jc w:val="both"/>
        <w:rPr>
          <w:rFonts w:ascii="Arial" w:hAnsi="Arial" w:cs="Arial"/>
        </w:rPr>
      </w:pPr>
      <w:r w:rsidRPr="00B55E0D">
        <w:rPr>
          <w:rFonts w:ascii="Arial" w:hAnsi="Arial" w:cs="Arial"/>
        </w:rPr>
        <w:t>ICONTEC. NORMA TECNICA COLOMBIANA NTC OHSAS 18001. Sistemas de Gestión en Seguridad y salud ocupacional. Primera actualización. Bogotá D.C. 2007. 24p.</w:t>
      </w:r>
    </w:p>
    <w:p w14:paraId="3DFE7604" w14:textId="77777777" w:rsidR="00B55E0D" w:rsidRPr="00B55E0D" w:rsidRDefault="00B55E0D" w:rsidP="00B55E0D">
      <w:pPr>
        <w:jc w:val="both"/>
        <w:rPr>
          <w:rFonts w:ascii="Arial" w:hAnsi="Arial" w:cs="Arial"/>
        </w:rPr>
      </w:pPr>
      <w:r w:rsidRPr="00B55E0D">
        <w:rPr>
          <w:rFonts w:ascii="Arial" w:hAnsi="Arial" w:cs="Arial"/>
        </w:rPr>
        <w:t>IDU – DAMA – JARDÍN BOTÁNICO, Complemento al Manual Verde, Bogotá, D.C. 2002.</w:t>
      </w:r>
    </w:p>
    <w:p w14:paraId="7F29BC1E" w14:textId="77777777" w:rsidR="00B55E0D" w:rsidRPr="00B55E0D" w:rsidRDefault="00B55E0D" w:rsidP="00B55E0D">
      <w:pPr>
        <w:jc w:val="both"/>
        <w:rPr>
          <w:rFonts w:ascii="Arial" w:hAnsi="Arial" w:cs="Arial"/>
        </w:rPr>
      </w:pPr>
      <w:r w:rsidRPr="00B55E0D">
        <w:rPr>
          <w:rFonts w:ascii="Arial" w:hAnsi="Arial" w:cs="Arial"/>
        </w:rPr>
        <w:t>INGEOMINAS, Clasificación Regional de Amenaza Relativa de Movimientos en Masa en Colombia, 2002.</w:t>
      </w:r>
    </w:p>
    <w:p w14:paraId="093124EE" w14:textId="5A1A5547" w:rsidR="00B55E0D" w:rsidRPr="00B55E0D" w:rsidRDefault="00B55E0D" w:rsidP="00B55E0D">
      <w:pPr>
        <w:jc w:val="both"/>
        <w:rPr>
          <w:rFonts w:ascii="Arial" w:hAnsi="Arial" w:cs="Arial"/>
          <w:lang w:val="es-MX"/>
        </w:rPr>
      </w:pPr>
      <w:r w:rsidRPr="00B55E0D">
        <w:rPr>
          <w:rFonts w:ascii="Arial" w:hAnsi="Arial" w:cs="Arial"/>
        </w:rPr>
        <w:t>Instituto de Desarrollo Urbano. Manual Único de Control y Seguimiento Ambiental y de SST del IDU. (2017).</w:t>
      </w:r>
    </w:p>
    <w:p w14:paraId="0258154C" w14:textId="77777777" w:rsidR="00B55E0D" w:rsidRPr="00B55E0D" w:rsidRDefault="00B55E0D" w:rsidP="00B55E0D">
      <w:pPr>
        <w:jc w:val="both"/>
        <w:rPr>
          <w:rFonts w:ascii="Arial" w:hAnsi="Arial" w:cs="Arial"/>
        </w:rPr>
      </w:pPr>
      <w:r w:rsidRPr="00B55E0D">
        <w:rPr>
          <w:rFonts w:ascii="Arial" w:hAnsi="Arial" w:cs="Arial"/>
        </w:rPr>
        <w:t>INVIAS  - Instituto Nacional de Vías. República de Colombia. (2011). Manual de drenaje de carretera. Bogotá D.C. p. 538.</w:t>
      </w:r>
    </w:p>
    <w:p w14:paraId="0F515C44" w14:textId="77777777" w:rsidR="00B55E0D" w:rsidRPr="00B55E0D" w:rsidRDefault="00B55E0D" w:rsidP="00B55E0D">
      <w:pPr>
        <w:jc w:val="both"/>
        <w:rPr>
          <w:rFonts w:ascii="Arial" w:hAnsi="Arial" w:cs="Arial"/>
        </w:rPr>
      </w:pPr>
      <w:r w:rsidRPr="00B55E0D">
        <w:rPr>
          <w:rFonts w:ascii="Arial" w:hAnsi="Arial" w:cs="Arial"/>
        </w:rPr>
        <w:t>Jardín Botánico José Celestino Mutis, Manual de Arborización para Bogotá D. C, 2000.</w:t>
      </w:r>
    </w:p>
    <w:p w14:paraId="146B2604" w14:textId="77777777" w:rsidR="00B55E0D" w:rsidRPr="00B55E0D" w:rsidRDefault="00B55E0D" w:rsidP="00B55E0D">
      <w:pPr>
        <w:jc w:val="both"/>
        <w:rPr>
          <w:rFonts w:ascii="Arial" w:hAnsi="Arial" w:cs="Arial"/>
        </w:rPr>
      </w:pPr>
      <w:r w:rsidRPr="00B55E0D">
        <w:rPr>
          <w:rFonts w:ascii="Arial" w:hAnsi="Arial" w:cs="Arial"/>
        </w:rPr>
        <w:t>Jardín Botánico José Celestino Mutis, Más Flores Para Bogotá D. C. 2004.</w:t>
      </w:r>
    </w:p>
    <w:p w14:paraId="64C11689" w14:textId="0C9D3C84" w:rsidR="00B55E0D" w:rsidRPr="00B55E0D" w:rsidRDefault="00B55E0D" w:rsidP="00B55E0D">
      <w:pPr>
        <w:jc w:val="both"/>
        <w:rPr>
          <w:rFonts w:ascii="Arial" w:hAnsi="Arial" w:cs="Arial"/>
          <w:lang w:val="en-US"/>
        </w:rPr>
      </w:pPr>
      <w:r w:rsidRPr="00B55E0D">
        <w:rPr>
          <w:rFonts w:ascii="Arial" w:hAnsi="Arial" w:cs="Arial"/>
          <w:lang w:val="en-US"/>
        </w:rPr>
        <w:t xml:space="preserve">KOLLURU, Rao; BARTELL, Steven; PITBLADO Robin y STRICOFF Scott. </w:t>
      </w:r>
      <w:r w:rsidRPr="00B55E0D">
        <w:rPr>
          <w:rFonts w:ascii="Arial" w:hAnsi="Arial" w:cs="Arial"/>
        </w:rPr>
        <w:t xml:space="preserve">Manual de evaluación y administración de riesgos. México: Mc Graw Hill, 2000. </w:t>
      </w:r>
      <w:r w:rsidRPr="00B55E0D">
        <w:rPr>
          <w:rFonts w:ascii="Arial" w:hAnsi="Arial" w:cs="Arial"/>
          <w:lang w:val="en-US"/>
        </w:rPr>
        <w:t>714p. ISBN  970-10-1958-X.</w:t>
      </w:r>
    </w:p>
    <w:p w14:paraId="031A34F2" w14:textId="77777777" w:rsidR="00B55E0D" w:rsidRPr="00B55E0D" w:rsidRDefault="00B55E0D" w:rsidP="00B55E0D">
      <w:pPr>
        <w:jc w:val="both"/>
        <w:rPr>
          <w:rFonts w:ascii="Arial" w:hAnsi="Arial" w:cs="Arial"/>
          <w:lang w:val="en-US"/>
        </w:rPr>
      </w:pPr>
      <w:r w:rsidRPr="00B55E0D">
        <w:rPr>
          <w:rFonts w:ascii="Arial" w:hAnsi="Arial" w:cs="Arial"/>
          <w:lang w:val="en-US"/>
        </w:rPr>
        <w:t>Krebs, C. J. (1989). Ecological Methodology Harper Collins Publishers New York 654.</w:t>
      </w:r>
    </w:p>
    <w:p w14:paraId="4FDF5E76" w14:textId="637C5426" w:rsidR="003D119D" w:rsidRDefault="003D119D" w:rsidP="00B55E0D">
      <w:pPr>
        <w:jc w:val="both"/>
        <w:rPr>
          <w:rFonts w:ascii="Arial" w:hAnsi="Arial" w:cs="Arial"/>
          <w:lang w:val="en-US"/>
        </w:rPr>
      </w:pPr>
      <w:r>
        <w:rPr>
          <w:rFonts w:ascii="Arial" w:hAnsi="Arial" w:cs="Arial"/>
          <w:lang w:val="en-US"/>
        </w:rPr>
        <w:t>Localidad de San Cristóbal. Plan Ambiental Local. “San Cristóbal Humana con el Ambiente”. Bogotá.</w:t>
      </w:r>
    </w:p>
    <w:p w14:paraId="1F6DC7E9" w14:textId="655A2F8F" w:rsidR="00B55E0D" w:rsidRPr="00B55E0D" w:rsidRDefault="00B55E0D" w:rsidP="00B55E0D">
      <w:pPr>
        <w:jc w:val="both"/>
        <w:rPr>
          <w:rFonts w:ascii="Arial" w:hAnsi="Arial" w:cs="Arial"/>
        </w:rPr>
      </w:pPr>
      <w:r w:rsidRPr="00B55E0D">
        <w:rPr>
          <w:rFonts w:ascii="Arial" w:hAnsi="Arial" w:cs="Arial"/>
          <w:lang w:val="en-US"/>
        </w:rPr>
        <w:t xml:space="preserve">López Gómez, A. M., &amp; Williams Linera, G. (2006). </w:t>
      </w:r>
      <w:r w:rsidRPr="00B55E0D">
        <w:rPr>
          <w:rFonts w:ascii="Arial" w:hAnsi="Arial" w:cs="Arial"/>
        </w:rPr>
        <w:t>Evaluación de métodos no paramétricos para la estimación de riqueza de especies de plantas leñosas en cafetales. Boletín de la sociedad botánica de méxico, 78p.</w:t>
      </w:r>
    </w:p>
    <w:p w14:paraId="42272DD2" w14:textId="77777777" w:rsidR="00B55E0D" w:rsidRPr="00B55E0D" w:rsidRDefault="00B55E0D" w:rsidP="00B55E0D">
      <w:pPr>
        <w:jc w:val="both"/>
        <w:rPr>
          <w:rFonts w:ascii="Arial" w:hAnsi="Arial" w:cs="Arial"/>
        </w:rPr>
      </w:pPr>
      <w:r w:rsidRPr="00B55E0D">
        <w:rPr>
          <w:rFonts w:ascii="Arial" w:hAnsi="Arial" w:cs="Arial"/>
        </w:rPr>
        <w:t>Mc Mullan, M., Quevedo, A., &amp; Donegan, T. M. (2011). Guía de Campo de las Aves de Colombia. Fundación ProAves, Bogotá.</w:t>
      </w:r>
    </w:p>
    <w:p w14:paraId="7DDFE7D4" w14:textId="22049579" w:rsidR="00B55E0D" w:rsidRPr="00B55E0D" w:rsidRDefault="00B55E0D" w:rsidP="00B55E0D">
      <w:pPr>
        <w:jc w:val="both"/>
        <w:rPr>
          <w:rFonts w:ascii="Arial" w:hAnsi="Arial" w:cs="Arial"/>
        </w:rPr>
      </w:pPr>
      <w:r w:rsidRPr="00B55E0D">
        <w:rPr>
          <w:rFonts w:ascii="Arial" w:hAnsi="Arial" w:cs="Arial"/>
        </w:rPr>
        <w:t>Ministerio de Ambiente Vivienda y Desarrollo Territorial (2006). Resolución 627 DE 2006. Por la cual se establece la norma nacional de emisión de ruido y ruido ambiental.</w:t>
      </w:r>
    </w:p>
    <w:p w14:paraId="1C9792F4" w14:textId="07273D51" w:rsidR="00B55E0D" w:rsidRPr="00B55E0D" w:rsidRDefault="00B55E0D" w:rsidP="00B55E0D">
      <w:pPr>
        <w:jc w:val="both"/>
        <w:rPr>
          <w:rFonts w:ascii="Arial" w:hAnsi="Arial" w:cs="Arial"/>
        </w:rPr>
      </w:pPr>
      <w:r w:rsidRPr="00B55E0D">
        <w:rPr>
          <w:rFonts w:ascii="Arial" w:hAnsi="Arial" w:cs="Arial"/>
        </w:rPr>
        <w:lastRenderedPageBreak/>
        <w:t>Ministerio de Ambiente Vivienda y Desarrollo Territorial (2015). Decreto 1076 de 2016. Decreto Único Reglamentario del Sector Ambiente y Desarrollo Sostenible. Bogotá D.C. p. 653.</w:t>
      </w:r>
    </w:p>
    <w:p w14:paraId="156A3499" w14:textId="77777777" w:rsidR="00B55E0D" w:rsidRPr="00B55E0D" w:rsidRDefault="00B55E0D" w:rsidP="00B55E0D">
      <w:pPr>
        <w:jc w:val="both"/>
        <w:rPr>
          <w:rFonts w:ascii="Arial" w:hAnsi="Arial" w:cs="Arial"/>
        </w:rPr>
      </w:pPr>
      <w:r w:rsidRPr="00B55E0D">
        <w:rPr>
          <w:rFonts w:ascii="Arial" w:hAnsi="Arial" w:cs="Arial"/>
        </w:rPr>
        <w:t>Ministerio de Ambiente Vivienda y Desarrollo Territorial. República de Colombia. Resolución 610 de marzo de 2006.</w:t>
      </w:r>
    </w:p>
    <w:p w14:paraId="46039E3E" w14:textId="77777777" w:rsidR="00B55E0D" w:rsidRPr="00B55E0D" w:rsidRDefault="00B55E0D" w:rsidP="00B55E0D">
      <w:pPr>
        <w:pStyle w:val="Textonotapie"/>
        <w:rPr>
          <w:rFonts w:cs="Arial"/>
          <w:sz w:val="22"/>
          <w:szCs w:val="22"/>
        </w:rPr>
      </w:pPr>
      <w:r w:rsidRPr="00B55E0D">
        <w:rPr>
          <w:rFonts w:cs="Arial"/>
          <w:sz w:val="22"/>
          <w:szCs w:val="22"/>
        </w:rPr>
        <w:t xml:space="preserve">Ministerio de Ambiente y Desarrollo Sostenible Decreto único Reglamentario del Sector Ambiente y Desarrollo Sostenible. Decreto 1076 de 2015. p. 653. </w:t>
      </w:r>
    </w:p>
    <w:p w14:paraId="13DA8160" w14:textId="77777777" w:rsidR="00B55E0D" w:rsidRPr="00B55E0D" w:rsidRDefault="00B55E0D" w:rsidP="00B55E0D">
      <w:pPr>
        <w:jc w:val="both"/>
        <w:rPr>
          <w:rFonts w:ascii="Arial" w:hAnsi="Arial" w:cs="Arial"/>
        </w:rPr>
      </w:pPr>
    </w:p>
    <w:p w14:paraId="40A1F2FA" w14:textId="77777777" w:rsidR="00B55E0D" w:rsidRPr="00B55E0D" w:rsidRDefault="00B55E0D" w:rsidP="00B55E0D">
      <w:pPr>
        <w:jc w:val="both"/>
        <w:rPr>
          <w:rFonts w:ascii="Arial" w:hAnsi="Arial" w:cs="Arial"/>
        </w:rPr>
      </w:pPr>
      <w:r w:rsidRPr="00B55E0D">
        <w:rPr>
          <w:rFonts w:ascii="Arial" w:hAnsi="Arial" w:cs="Arial"/>
        </w:rPr>
        <w:t xml:space="preserve">Ministerio de Ambiente y Desarrollo Sostenible. Código Nacional de Recursos Naturales Renovables y de Protección al Medio Ambiente. Bogotá, D.C. (2014). 244p. </w:t>
      </w:r>
    </w:p>
    <w:p w14:paraId="506BFF15" w14:textId="77777777" w:rsidR="00B55E0D" w:rsidRPr="00B55E0D" w:rsidRDefault="00B55E0D" w:rsidP="00B55E0D">
      <w:pPr>
        <w:jc w:val="both"/>
        <w:rPr>
          <w:rFonts w:ascii="Arial" w:hAnsi="Arial" w:cs="Arial"/>
        </w:rPr>
      </w:pPr>
      <w:r w:rsidRPr="00B55E0D">
        <w:rPr>
          <w:rFonts w:ascii="Arial" w:hAnsi="Arial" w:cs="Arial"/>
        </w:rPr>
        <w:t>Ministerio de Ambiente, Vivienda y Desarrollo Territorial. NSR-10  (19, marzo, 2010). Reglamento Colombiano de Construcción Sismo Resistente. Bogotá D.C., El Ministerio, 2010. 130 p.</w:t>
      </w:r>
    </w:p>
    <w:p w14:paraId="7490FC54" w14:textId="77777777" w:rsidR="00B55E0D" w:rsidRPr="00B55E0D" w:rsidRDefault="00B55E0D" w:rsidP="00B55E0D">
      <w:pPr>
        <w:jc w:val="both"/>
        <w:rPr>
          <w:rFonts w:ascii="Arial" w:hAnsi="Arial" w:cs="Arial"/>
        </w:rPr>
      </w:pPr>
      <w:r w:rsidRPr="00B55E0D">
        <w:rPr>
          <w:rFonts w:ascii="Arial" w:hAnsi="Arial" w:cs="Arial"/>
        </w:rPr>
        <w:t xml:space="preserve">Ministerio de Ambiente, Vivienda y Desarrollo Territorial. República DE COLOMBIA. Protocolo de Calidad del Aire (Resolución 2154 De noviembre de 2010). Noviembre de 2010. </w:t>
      </w:r>
    </w:p>
    <w:p w14:paraId="4FB72B56" w14:textId="77777777" w:rsidR="00B55E0D" w:rsidRPr="00B55E0D" w:rsidRDefault="00B55E0D" w:rsidP="00B55E0D">
      <w:pPr>
        <w:jc w:val="both"/>
        <w:rPr>
          <w:rFonts w:ascii="Arial" w:hAnsi="Arial" w:cs="Arial"/>
        </w:rPr>
      </w:pPr>
      <w:r w:rsidRPr="00B55E0D">
        <w:rPr>
          <w:rFonts w:ascii="Arial" w:hAnsi="Arial" w:cs="Arial"/>
        </w:rPr>
        <w:t>Ministerio de Ambiente, Vivienda y Desarrollo Territorial. República de Colombia. (2016). Resolución 601 de abril de 2006.</w:t>
      </w:r>
    </w:p>
    <w:p w14:paraId="2DFB8CCD" w14:textId="77777777" w:rsidR="00B55E0D" w:rsidRPr="00B55E0D" w:rsidRDefault="00B55E0D" w:rsidP="00B55E0D">
      <w:pPr>
        <w:jc w:val="both"/>
        <w:rPr>
          <w:rFonts w:ascii="Arial" w:hAnsi="Arial" w:cs="Arial"/>
        </w:rPr>
      </w:pPr>
      <w:r w:rsidRPr="00B55E0D">
        <w:rPr>
          <w:rFonts w:ascii="Arial" w:hAnsi="Arial" w:cs="Arial"/>
        </w:rPr>
        <w:t>Ministerio del Interior. Decreto 321 (7, febrero, 1999). Por el cual se adopta el Plan Nacional de Contingencia contra derrames de Hidrocarburos, Derivados y Sustancias Nocivas. Diario Oficial. No. 43.507, del 22 de febrero de 1999. 8p.</w:t>
      </w:r>
    </w:p>
    <w:p w14:paraId="326AF34B" w14:textId="77777777" w:rsidR="00B55E0D" w:rsidRPr="00B55E0D" w:rsidRDefault="00B55E0D" w:rsidP="00B55E0D">
      <w:pPr>
        <w:jc w:val="both"/>
        <w:rPr>
          <w:rFonts w:ascii="Arial" w:hAnsi="Arial" w:cs="Arial"/>
        </w:rPr>
      </w:pPr>
      <w:r w:rsidRPr="00B55E0D">
        <w:rPr>
          <w:rFonts w:ascii="Arial" w:hAnsi="Arial" w:cs="Arial"/>
        </w:rPr>
        <w:t>Moreno, C. E. (2001). Métodos para medir la biodiversidad. M&amp;T–Manuales y Tesis SEA, vol. 1. Zaragoza, 84 pp.</w:t>
      </w:r>
    </w:p>
    <w:p w14:paraId="5CA61A2A" w14:textId="77777777" w:rsidR="00B55E0D" w:rsidRPr="00B55E0D" w:rsidRDefault="00B55E0D" w:rsidP="00B55E0D">
      <w:pPr>
        <w:autoSpaceDE w:val="0"/>
        <w:autoSpaceDN w:val="0"/>
        <w:adjustRightInd w:val="0"/>
        <w:jc w:val="both"/>
        <w:rPr>
          <w:rFonts w:ascii="Arial" w:eastAsia="Calibri" w:hAnsi="Arial" w:cs="Arial"/>
          <w:lang w:val="es-ES" w:eastAsia="es-CO"/>
        </w:rPr>
      </w:pPr>
      <w:r w:rsidRPr="00B55E0D">
        <w:rPr>
          <w:rFonts w:ascii="Arial" w:eastAsia="Calibri" w:hAnsi="Arial" w:cs="Arial"/>
          <w:lang w:val="es-ES" w:eastAsia="es-CO"/>
        </w:rPr>
        <w:t>Osorio-Olarte, J. (2012). Aves migratorias neotropicales en parques y jardines de Bogotá: 1945 – 2005. Revista nodo Nº 12, Vol. 6, Año 6: 67-82.</w:t>
      </w:r>
    </w:p>
    <w:p w14:paraId="1207BEC0" w14:textId="77777777" w:rsidR="00B55E0D" w:rsidRPr="00B55E0D" w:rsidRDefault="00B55E0D" w:rsidP="00B55E0D">
      <w:pPr>
        <w:jc w:val="both"/>
        <w:rPr>
          <w:rFonts w:ascii="Arial" w:hAnsi="Arial" w:cs="Arial"/>
        </w:rPr>
      </w:pPr>
      <w:r w:rsidRPr="00B55E0D">
        <w:rPr>
          <w:rFonts w:ascii="Arial" w:hAnsi="Arial" w:cs="Arial"/>
        </w:rPr>
        <w:t xml:space="preserve">Past.Diversity. 2017. Disponible en: </w:t>
      </w:r>
      <w:hyperlink r:id="rId16" w:history="1">
        <w:r w:rsidRPr="00B55E0D">
          <w:rPr>
            <w:rStyle w:val="Hipervnculo"/>
            <w:rFonts w:ascii="Arial" w:hAnsi="Arial" w:cs="Arial"/>
          </w:rPr>
          <w:t>https://folk.uio.no/ohammer/past/diversity.html</w:t>
        </w:r>
      </w:hyperlink>
      <w:r w:rsidRPr="00B55E0D">
        <w:rPr>
          <w:rFonts w:ascii="Arial" w:hAnsi="Arial" w:cs="Arial"/>
        </w:rPr>
        <w:t xml:space="preserve">. </w:t>
      </w:r>
    </w:p>
    <w:p w14:paraId="4E2D969A" w14:textId="77777777" w:rsidR="00B55E0D" w:rsidRPr="00B55E0D" w:rsidRDefault="00B55E0D" w:rsidP="00B55E0D">
      <w:pPr>
        <w:jc w:val="both"/>
        <w:rPr>
          <w:rFonts w:ascii="Arial" w:hAnsi="Arial" w:cs="Arial"/>
          <w:lang w:val="en-US"/>
        </w:rPr>
      </w:pPr>
      <w:r w:rsidRPr="00B55E0D">
        <w:rPr>
          <w:rFonts w:ascii="Arial" w:hAnsi="Arial" w:cs="Arial"/>
          <w:lang w:val="en-US"/>
        </w:rPr>
        <w:t xml:space="preserve">Phylogenetics and diversification of tanagers (Passeriformes: Thraupidae), the largest radiation of </w:t>
      </w:r>
    </w:p>
    <w:p w14:paraId="45F77D64" w14:textId="77777777" w:rsidR="00B55E0D" w:rsidRPr="00B55E0D" w:rsidRDefault="00B55E0D" w:rsidP="00B55E0D">
      <w:pPr>
        <w:jc w:val="both"/>
        <w:rPr>
          <w:rFonts w:ascii="Arial" w:hAnsi="Arial" w:cs="Arial"/>
          <w:lang w:val="en-US"/>
        </w:rPr>
      </w:pPr>
      <w:r w:rsidRPr="00B55E0D">
        <w:rPr>
          <w:rFonts w:ascii="Arial" w:hAnsi="Arial" w:cs="Arial"/>
          <w:lang w:val="en-US"/>
        </w:rPr>
        <w:t>Neotropical songbirds. Molecular phylogenetics and evolution, 75: 41-77.</w:t>
      </w:r>
    </w:p>
    <w:p w14:paraId="0245C700" w14:textId="77777777" w:rsidR="00B55E0D" w:rsidRPr="00B55E0D" w:rsidRDefault="00B55E0D" w:rsidP="00B55E0D">
      <w:pPr>
        <w:jc w:val="both"/>
        <w:rPr>
          <w:rFonts w:ascii="Arial" w:hAnsi="Arial" w:cs="Arial"/>
          <w:lang w:val="es-MX" w:bidi="he-IL"/>
        </w:rPr>
      </w:pPr>
      <w:r w:rsidRPr="00B55E0D">
        <w:rPr>
          <w:rFonts w:ascii="Arial" w:hAnsi="Arial" w:cs="Arial"/>
          <w:lang w:val="es-MX" w:bidi="he-IL"/>
        </w:rPr>
        <w:t>Plan Parcial de Renovación Urbana Pedregal (Decreto 188 del 14 de mayo de 2014). Localizado en la esquina de la Carrera 7 con Calle 100. Contempla la construcción de edificaciones comerciales y oficinas.</w:t>
      </w:r>
    </w:p>
    <w:p w14:paraId="16F6E084" w14:textId="77777777" w:rsidR="00B55E0D" w:rsidRPr="00B55E0D" w:rsidRDefault="00B55E0D" w:rsidP="00B55E0D">
      <w:pPr>
        <w:jc w:val="both"/>
        <w:rPr>
          <w:rFonts w:ascii="Arial" w:hAnsi="Arial" w:cs="Arial"/>
        </w:rPr>
      </w:pPr>
      <w:r w:rsidRPr="00B55E0D">
        <w:rPr>
          <w:rFonts w:ascii="Arial" w:hAnsi="Arial" w:cs="Arial"/>
          <w:lang w:val="en-US"/>
        </w:rPr>
        <w:t xml:space="preserve">Practice Standard for Project Risk Management. </w:t>
      </w:r>
      <w:r w:rsidRPr="00B55E0D">
        <w:rPr>
          <w:rFonts w:ascii="Arial" w:hAnsi="Arial" w:cs="Arial"/>
        </w:rPr>
        <w:t>PMI 2009.</w:t>
      </w:r>
    </w:p>
    <w:p w14:paraId="337BBB78" w14:textId="77777777" w:rsidR="00B55E0D" w:rsidRPr="00B55E0D" w:rsidRDefault="00B55E0D" w:rsidP="00B55E0D">
      <w:pPr>
        <w:jc w:val="both"/>
        <w:rPr>
          <w:rFonts w:ascii="Arial" w:hAnsi="Arial" w:cs="Arial"/>
          <w:lang w:val="es-ES"/>
        </w:rPr>
      </w:pPr>
      <w:r w:rsidRPr="00B55E0D">
        <w:rPr>
          <w:rFonts w:ascii="Arial" w:hAnsi="Arial" w:cs="Arial"/>
          <w:lang w:val="es-ES"/>
        </w:rPr>
        <w:t>Ralph, C. J., Geupel, G. R., Pyle, P., Martin, T. E., DeSante, D. F., &amp; Milá, B. (1996). Manual de métodos de campo para el monitoreo de aves terrestres.</w:t>
      </w:r>
    </w:p>
    <w:p w14:paraId="2CD3C542" w14:textId="77777777" w:rsidR="00B55E0D" w:rsidRPr="00B55E0D" w:rsidRDefault="00B55E0D" w:rsidP="00B55E0D">
      <w:pPr>
        <w:jc w:val="both"/>
        <w:rPr>
          <w:rFonts w:ascii="Arial" w:hAnsi="Arial" w:cs="Arial"/>
        </w:rPr>
      </w:pPr>
    </w:p>
    <w:p w14:paraId="53434693" w14:textId="77777777" w:rsidR="00B55E0D" w:rsidRPr="00B55E0D" w:rsidRDefault="00B55E0D" w:rsidP="00B55E0D">
      <w:pPr>
        <w:jc w:val="both"/>
        <w:rPr>
          <w:rFonts w:ascii="Arial" w:hAnsi="Arial" w:cs="Arial"/>
        </w:rPr>
      </w:pPr>
      <w:r w:rsidRPr="00B55E0D">
        <w:rPr>
          <w:rFonts w:ascii="Arial" w:hAnsi="Arial" w:cs="Arial"/>
        </w:rPr>
        <w:lastRenderedPageBreak/>
        <w:t>Rosselli, L., De La Zerda, S., &amp; Candil, J. (2017). Cambios en la avifauna de un relicto de bosque en la franja periurbana de Bogotá a lo largo de catorce años. Acta Biológica Colombiana, 22(2), 181-190.</w:t>
      </w:r>
    </w:p>
    <w:p w14:paraId="678B3BFF" w14:textId="77777777" w:rsidR="00B55E0D" w:rsidRPr="00B55E0D" w:rsidRDefault="00B55E0D" w:rsidP="00B55E0D">
      <w:pPr>
        <w:jc w:val="both"/>
        <w:rPr>
          <w:rFonts w:ascii="Arial" w:hAnsi="Arial" w:cs="Arial"/>
        </w:rPr>
      </w:pPr>
      <w:r w:rsidRPr="00B55E0D">
        <w:rPr>
          <w:rFonts w:ascii="Arial" w:hAnsi="Arial" w:cs="Arial"/>
        </w:rPr>
        <w:t xml:space="preserve">Secretaría Distrital de Ambiente. Informe Anual de la Red de Calidad de Aire año 2010. Bogotá D.C. </w:t>
      </w:r>
    </w:p>
    <w:p w14:paraId="308133BD" w14:textId="77777777" w:rsidR="00B55E0D" w:rsidRPr="00B55E0D" w:rsidRDefault="00B55E0D" w:rsidP="00B55E0D">
      <w:pPr>
        <w:jc w:val="both"/>
        <w:rPr>
          <w:rFonts w:ascii="Arial" w:hAnsi="Arial" w:cs="Arial"/>
        </w:rPr>
      </w:pPr>
      <w:r w:rsidRPr="00B55E0D">
        <w:rPr>
          <w:rFonts w:ascii="Arial" w:hAnsi="Arial" w:cs="Arial"/>
        </w:rPr>
        <w:t xml:space="preserve">Secretaría Distrital de Planeación. (2015). Actualización Cartilla de andenes por Decreto 561 del 21 de diciembre de 2015. Bogotá D.C. </w:t>
      </w:r>
    </w:p>
    <w:p w14:paraId="1919F9AB" w14:textId="77777777" w:rsidR="00B55E0D" w:rsidRPr="00B55E0D" w:rsidRDefault="00B55E0D" w:rsidP="00B55E0D">
      <w:pPr>
        <w:jc w:val="both"/>
        <w:rPr>
          <w:rFonts w:ascii="Arial" w:hAnsi="Arial" w:cs="Arial"/>
          <w:lang w:val="es-ES_tradnl"/>
        </w:rPr>
      </w:pPr>
      <w:r w:rsidRPr="00B55E0D">
        <w:rPr>
          <w:rFonts w:ascii="Arial" w:hAnsi="Arial" w:cs="Arial"/>
        </w:rPr>
        <w:t xml:space="preserve">Servicio Geológico Colombiano (1998). </w:t>
      </w:r>
      <w:r w:rsidRPr="00B55E0D">
        <w:rPr>
          <w:rFonts w:ascii="Arial" w:hAnsi="Arial" w:cs="Arial"/>
          <w:lang w:val="es-ES_tradnl"/>
        </w:rPr>
        <w:t>Geología de la Plancha 227 La Mesa.   Esc. 1:100 000.</w:t>
      </w:r>
    </w:p>
    <w:p w14:paraId="539DF01B" w14:textId="77777777" w:rsidR="00B55E0D" w:rsidRPr="00B55E0D" w:rsidRDefault="00B55E0D" w:rsidP="00B55E0D">
      <w:pPr>
        <w:jc w:val="both"/>
        <w:rPr>
          <w:rFonts w:ascii="Arial" w:hAnsi="Arial" w:cs="Arial"/>
          <w:lang w:val="es-ES_tradnl"/>
        </w:rPr>
      </w:pPr>
      <w:r w:rsidRPr="00B55E0D">
        <w:rPr>
          <w:rFonts w:ascii="Arial" w:hAnsi="Arial" w:cs="Arial"/>
        </w:rPr>
        <w:t xml:space="preserve">Servicio Geológico Colombiano (1998). </w:t>
      </w:r>
      <w:r w:rsidRPr="00B55E0D">
        <w:rPr>
          <w:rFonts w:ascii="Arial" w:hAnsi="Arial" w:cs="Arial"/>
          <w:lang w:val="es-ES_tradnl"/>
        </w:rPr>
        <w:t>Geología de la Plancha 246 Fusagasugá. Esc. 1:100 000.  1998.</w:t>
      </w:r>
    </w:p>
    <w:p w14:paraId="4216C2E2" w14:textId="77777777" w:rsidR="00B55E0D" w:rsidRPr="00B55E0D" w:rsidRDefault="00B55E0D" w:rsidP="00B55E0D">
      <w:pPr>
        <w:jc w:val="both"/>
        <w:rPr>
          <w:rFonts w:ascii="Arial" w:hAnsi="Arial" w:cs="Arial"/>
        </w:rPr>
      </w:pPr>
      <w:r w:rsidRPr="00B55E0D">
        <w:rPr>
          <w:rFonts w:ascii="Arial" w:hAnsi="Arial" w:cs="Arial"/>
        </w:rPr>
        <w:t>Servicio Geológico Colombiano (2001). Memoria Explicativa Geología de la Plancha 246 Fusagasugá.  Esc. 1:100 000.  2001.</w:t>
      </w:r>
    </w:p>
    <w:p w14:paraId="5A96AEC5" w14:textId="77777777" w:rsidR="00B55E0D" w:rsidRPr="00B55E0D" w:rsidRDefault="00B55E0D" w:rsidP="00B55E0D">
      <w:pPr>
        <w:jc w:val="both"/>
        <w:rPr>
          <w:rFonts w:ascii="Arial" w:hAnsi="Arial" w:cs="Arial"/>
          <w:lang w:val="es-ES_tradnl"/>
        </w:rPr>
      </w:pPr>
      <w:r w:rsidRPr="00B55E0D">
        <w:rPr>
          <w:rFonts w:ascii="Arial" w:hAnsi="Arial" w:cs="Arial"/>
        </w:rPr>
        <w:t xml:space="preserve">Servicio Geológico Colombiano (2001). </w:t>
      </w:r>
      <w:r w:rsidRPr="00B55E0D">
        <w:rPr>
          <w:rFonts w:ascii="Arial" w:hAnsi="Arial" w:cs="Arial"/>
          <w:lang w:val="es-ES_tradnl"/>
        </w:rPr>
        <w:t>Memoria Explicativa.  Geología Plancha 227 La Mesa.   Esc. 1:100 000.</w:t>
      </w:r>
    </w:p>
    <w:p w14:paraId="7916D222" w14:textId="77777777" w:rsidR="00B55E0D" w:rsidRPr="00B55E0D" w:rsidRDefault="00B55E0D" w:rsidP="00B55E0D">
      <w:pPr>
        <w:jc w:val="both"/>
        <w:rPr>
          <w:rFonts w:ascii="Arial" w:hAnsi="Arial" w:cs="Arial"/>
          <w:lang w:val="es-ES_tradnl"/>
        </w:rPr>
      </w:pPr>
      <w:r w:rsidRPr="00B55E0D">
        <w:rPr>
          <w:rFonts w:ascii="Arial" w:hAnsi="Arial" w:cs="Arial"/>
        </w:rPr>
        <w:t xml:space="preserve">Servicio Geológico Colombiano (2008). </w:t>
      </w:r>
      <w:r w:rsidRPr="00B55E0D">
        <w:rPr>
          <w:rFonts w:ascii="Arial" w:hAnsi="Arial" w:cs="Arial"/>
          <w:lang w:val="es-ES_tradnl"/>
        </w:rPr>
        <w:t>Geología de la Plancha 228 Santafé de Bogotá Noreste.   Esc. 1:100 000.  2008.</w:t>
      </w:r>
    </w:p>
    <w:p w14:paraId="397BFBDE" w14:textId="77777777" w:rsidR="00B55E0D" w:rsidRPr="00B55E0D" w:rsidRDefault="00B55E0D" w:rsidP="00B55E0D">
      <w:pPr>
        <w:jc w:val="both"/>
        <w:rPr>
          <w:rFonts w:ascii="Arial" w:hAnsi="Arial" w:cs="Arial"/>
          <w:lang w:val="es-ES_tradnl"/>
        </w:rPr>
      </w:pPr>
      <w:r w:rsidRPr="00B55E0D">
        <w:rPr>
          <w:rFonts w:ascii="Arial" w:hAnsi="Arial" w:cs="Arial"/>
        </w:rPr>
        <w:t xml:space="preserve">Servicio Geológico Colombiano (2011). </w:t>
      </w:r>
      <w:r w:rsidRPr="00B55E0D">
        <w:rPr>
          <w:rFonts w:ascii="Arial" w:hAnsi="Arial" w:cs="Arial"/>
          <w:lang w:val="es-ES_tradnl"/>
        </w:rPr>
        <w:t>Geología de la Plancha 247 Bogotá Sur Este - Cáqueza.   Esc. 1:100 000.  2011.</w:t>
      </w:r>
    </w:p>
    <w:p w14:paraId="447CB4C1" w14:textId="77777777" w:rsidR="00B55E0D" w:rsidRPr="00B55E0D" w:rsidRDefault="00B55E0D" w:rsidP="00B55E0D">
      <w:pPr>
        <w:jc w:val="both"/>
        <w:rPr>
          <w:rFonts w:ascii="Arial" w:hAnsi="Arial" w:cs="Arial"/>
          <w:lang w:val="es-ES_tradnl"/>
        </w:rPr>
      </w:pPr>
      <w:r w:rsidRPr="00B55E0D">
        <w:rPr>
          <w:rFonts w:ascii="Arial" w:hAnsi="Arial" w:cs="Arial"/>
        </w:rPr>
        <w:t xml:space="preserve">Servicio Geológico Colombiano (2015). </w:t>
      </w:r>
      <w:r w:rsidRPr="00B55E0D">
        <w:rPr>
          <w:rFonts w:ascii="Arial" w:hAnsi="Arial" w:cs="Arial"/>
          <w:lang w:val="es-ES_tradnl"/>
        </w:rPr>
        <w:t>Memoria Explicativa Geología Plancha 228 Bogotá Noreste.  Abril 2015.</w:t>
      </w:r>
    </w:p>
    <w:p w14:paraId="4D136236" w14:textId="77777777" w:rsidR="00B55E0D" w:rsidRPr="00B55E0D" w:rsidRDefault="00B55E0D" w:rsidP="00B55E0D">
      <w:pPr>
        <w:jc w:val="both"/>
        <w:rPr>
          <w:rFonts w:ascii="Arial" w:hAnsi="Arial" w:cs="Arial"/>
        </w:rPr>
      </w:pPr>
      <w:r w:rsidRPr="00B55E0D">
        <w:rPr>
          <w:rFonts w:ascii="Arial" w:hAnsi="Arial" w:cs="Arial"/>
        </w:rPr>
        <w:t>Servicio Geológico Colombiano. Propuesta de Estandarización de la Cartografía Geomorfológica de Colombia, 2011.</w:t>
      </w:r>
    </w:p>
    <w:p w14:paraId="010042F0" w14:textId="77777777" w:rsidR="00B55E0D" w:rsidRPr="00B55E0D" w:rsidRDefault="00B55E0D" w:rsidP="00B55E0D">
      <w:pPr>
        <w:jc w:val="both"/>
        <w:rPr>
          <w:rFonts w:ascii="Arial" w:hAnsi="Arial" w:cs="Arial"/>
        </w:rPr>
      </w:pPr>
      <w:r w:rsidRPr="00B55E0D">
        <w:rPr>
          <w:rFonts w:ascii="Arial" w:hAnsi="Arial" w:cs="Arial"/>
        </w:rPr>
        <w:t>SILES, Nilo.  Evaluación de riesgos planificación de la acción preventiva en la empresa. Ediciones de la U. Bogotá D.C.: 2010. ISBN: 978-958-267-504-6. p16.</w:t>
      </w:r>
    </w:p>
    <w:p w14:paraId="6A34FF80" w14:textId="33A9E3D4" w:rsidR="00B55E0D" w:rsidRPr="00B55E0D" w:rsidRDefault="00B55E0D" w:rsidP="00B55E0D">
      <w:pPr>
        <w:jc w:val="both"/>
        <w:rPr>
          <w:rFonts w:ascii="Arial" w:hAnsi="Arial" w:cs="Arial"/>
        </w:rPr>
      </w:pPr>
      <w:r w:rsidRPr="00B55E0D">
        <w:rPr>
          <w:rFonts w:ascii="Arial" w:hAnsi="Arial" w:cs="Arial"/>
        </w:rPr>
        <w:t>Stiles, F. G., &amp; Rosselli, L. (1998). Inventario de las aves de un bosque altoandino: comparación de dos métodos. Caldasia, 29-43.</w:t>
      </w:r>
    </w:p>
    <w:p w14:paraId="0E3ACEF8" w14:textId="77777777" w:rsidR="00B55E0D" w:rsidRPr="00B55E0D" w:rsidRDefault="00B55E0D" w:rsidP="00B55E0D">
      <w:pPr>
        <w:jc w:val="both"/>
        <w:rPr>
          <w:rFonts w:ascii="Arial" w:hAnsi="Arial" w:cs="Arial"/>
          <w:shd w:val="clear" w:color="auto" w:fill="FFFFFF"/>
          <w:lang w:val="en-US"/>
        </w:rPr>
      </w:pPr>
      <w:r w:rsidRPr="00B55E0D">
        <w:rPr>
          <w:rFonts w:ascii="Arial" w:hAnsi="Arial" w:cs="Arial"/>
          <w:shd w:val="clear" w:color="auto" w:fill="FFFFFF"/>
        </w:rPr>
        <w:t xml:space="preserve">Stiles, F. G., Rosselli, L., &amp; De La Zerda, S. (2017). </w:t>
      </w:r>
      <w:r w:rsidRPr="00B55E0D">
        <w:rPr>
          <w:rFonts w:ascii="Arial" w:hAnsi="Arial" w:cs="Arial"/>
          <w:shd w:val="clear" w:color="auto" w:fill="FFFFFF"/>
          <w:lang w:val="en-US"/>
        </w:rPr>
        <w:t>Changes over 26 years in the avifauna of the Bogotá region, Colombia: has climate change become important?.</w:t>
      </w:r>
      <w:r w:rsidRPr="00B55E0D">
        <w:rPr>
          <w:rStyle w:val="apple-converted-space"/>
          <w:rFonts w:ascii="Arial" w:hAnsi="Arial" w:cs="Arial"/>
          <w:shd w:val="clear" w:color="auto" w:fill="FFFFFF"/>
          <w:lang w:val="en-US"/>
        </w:rPr>
        <w:t> </w:t>
      </w:r>
      <w:r w:rsidRPr="00B55E0D">
        <w:rPr>
          <w:rFonts w:ascii="Arial" w:hAnsi="Arial" w:cs="Arial"/>
          <w:i/>
          <w:iCs/>
          <w:shd w:val="clear" w:color="auto" w:fill="FFFFFF"/>
          <w:lang w:val="en-US"/>
        </w:rPr>
        <w:t>Frontiers in Ecology and Evolution</w:t>
      </w:r>
      <w:r w:rsidRPr="00B55E0D">
        <w:rPr>
          <w:rFonts w:ascii="Arial" w:hAnsi="Arial" w:cs="Arial"/>
          <w:shd w:val="clear" w:color="auto" w:fill="FFFFFF"/>
          <w:lang w:val="en-US"/>
        </w:rPr>
        <w:t>,</w:t>
      </w:r>
      <w:r w:rsidRPr="00B55E0D">
        <w:rPr>
          <w:rStyle w:val="apple-converted-space"/>
          <w:rFonts w:ascii="Arial" w:hAnsi="Arial" w:cs="Arial"/>
          <w:shd w:val="clear" w:color="auto" w:fill="FFFFFF"/>
          <w:lang w:val="en-US"/>
        </w:rPr>
        <w:t> </w:t>
      </w:r>
      <w:r w:rsidRPr="00B55E0D">
        <w:rPr>
          <w:rFonts w:ascii="Arial" w:hAnsi="Arial" w:cs="Arial"/>
          <w:i/>
          <w:iCs/>
          <w:shd w:val="clear" w:color="auto" w:fill="FFFFFF"/>
          <w:lang w:val="en-US"/>
        </w:rPr>
        <w:t>5</w:t>
      </w:r>
      <w:r w:rsidRPr="00B55E0D">
        <w:rPr>
          <w:rFonts w:ascii="Arial" w:hAnsi="Arial" w:cs="Arial"/>
          <w:shd w:val="clear" w:color="auto" w:fill="FFFFFF"/>
          <w:lang w:val="en-US"/>
        </w:rPr>
        <w:t>, 58.</w:t>
      </w:r>
    </w:p>
    <w:p w14:paraId="2BA5F5D5" w14:textId="77777777" w:rsidR="00B55E0D" w:rsidRPr="00B55E0D" w:rsidRDefault="00B55E0D" w:rsidP="00B55E0D">
      <w:pPr>
        <w:jc w:val="both"/>
        <w:rPr>
          <w:rFonts w:ascii="Arial" w:hAnsi="Arial" w:cs="Arial"/>
          <w:shd w:val="clear" w:color="auto" w:fill="FFFFFF"/>
        </w:rPr>
      </w:pPr>
      <w:r w:rsidRPr="00B55E0D">
        <w:rPr>
          <w:rFonts w:ascii="Arial" w:hAnsi="Arial" w:cs="Arial"/>
          <w:lang w:val="en-US"/>
        </w:rPr>
        <w:t>Sullivan, B.L., C.L. Wood, M.J. Iliff, R.E. Bonney, D. Fink, &amp; S. Kelling. (2009). eBird: a citizen-</w:t>
      </w:r>
      <w:r w:rsidRPr="00B55E0D">
        <w:rPr>
          <w:rFonts w:ascii="Arial" w:hAnsi="Arial" w:cs="Arial"/>
          <w:shd w:val="clear" w:color="auto" w:fill="FFFFFF"/>
          <w:lang w:val="en-US"/>
        </w:rPr>
        <w:t xml:space="preserve">based bird observation network in the biological sciences. </w:t>
      </w:r>
      <w:r w:rsidRPr="00B55E0D">
        <w:rPr>
          <w:rFonts w:ascii="Arial" w:hAnsi="Arial" w:cs="Arial"/>
          <w:shd w:val="clear" w:color="auto" w:fill="FFFFFF"/>
        </w:rPr>
        <w:t>Biological Conservation 142: 2282-2292.</w:t>
      </w:r>
    </w:p>
    <w:p w14:paraId="4FED748E" w14:textId="7DFB87F9" w:rsidR="00DF28EE" w:rsidRDefault="00DF28EE" w:rsidP="00DF28EE">
      <w:pPr>
        <w:jc w:val="both"/>
        <w:rPr>
          <w:rFonts w:ascii="Arial" w:hAnsi="Arial" w:cs="Arial"/>
        </w:rPr>
      </w:pPr>
      <w:r>
        <w:rPr>
          <w:rFonts w:ascii="Arial" w:hAnsi="Arial" w:cs="Arial"/>
        </w:rPr>
        <w:t xml:space="preserve">Universidad Nacional de Colombia. Bitácora (3) 2019: 58-68. </w:t>
      </w:r>
      <w:r w:rsidRPr="00DF28EE">
        <w:rPr>
          <w:rFonts w:ascii="Arial" w:hAnsi="Arial" w:cs="Arial"/>
        </w:rPr>
        <w:t>Desarrollo Orientado al Transporte</w:t>
      </w:r>
      <w:r>
        <w:rPr>
          <w:rFonts w:ascii="Arial" w:hAnsi="Arial" w:cs="Arial"/>
        </w:rPr>
        <w:t xml:space="preserve"> </w:t>
      </w:r>
      <w:r w:rsidRPr="00DF28EE">
        <w:rPr>
          <w:rFonts w:ascii="Arial" w:hAnsi="Arial" w:cs="Arial"/>
        </w:rPr>
        <w:t>Sostenible (DOTS).</w:t>
      </w:r>
      <w:r>
        <w:rPr>
          <w:rFonts w:ascii="Arial" w:hAnsi="Arial" w:cs="Arial"/>
        </w:rPr>
        <w:t xml:space="preserve"> </w:t>
      </w:r>
      <w:r w:rsidRPr="00DF28EE">
        <w:rPr>
          <w:rFonts w:ascii="Arial" w:hAnsi="Arial" w:cs="Arial"/>
        </w:rPr>
        <w:t>Una prospectiva para Colombia</w:t>
      </w:r>
      <w:r>
        <w:rPr>
          <w:rFonts w:ascii="Arial" w:hAnsi="Arial" w:cs="Arial"/>
        </w:rPr>
        <w:t>. 2019.</w:t>
      </w:r>
    </w:p>
    <w:p w14:paraId="21153CB5" w14:textId="0AD98385" w:rsidR="00BA6689" w:rsidRDefault="00BA6689" w:rsidP="00B55E0D">
      <w:pPr>
        <w:jc w:val="both"/>
        <w:rPr>
          <w:rFonts w:ascii="Arial" w:hAnsi="Arial" w:cs="Arial"/>
        </w:rPr>
      </w:pPr>
      <w:r>
        <w:rPr>
          <w:rFonts w:ascii="Arial" w:hAnsi="Arial" w:cs="Arial"/>
        </w:rPr>
        <w:t xml:space="preserve">Universidad Nacional de Córdoba. Facultad de Ciencias Exactas, Físicas y Naturales. </w:t>
      </w:r>
      <w:r w:rsidRPr="00BA6689">
        <w:rPr>
          <w:rFonts w:ascii="Arial" w:hAnsi="Arial" w:cs="Arial"/>
        </w:rPr>
        <w:t>Evaluación de la demolición de una vivienda para proyecto arquitectónico de inversión</w:t>
      </w:r>
      <w:r>
        <w:rPr>
          <w:rFonts w:ascii="Arial" w:hAnsi="Arial" w:cs="Arial"/>
        </w:rPr>
        <w:t>. Informe Final. 2016.</w:t>
      </w:r>
    </w:p>
    <w:p w14:paraId="346C3F0A" w14:textId="73947339" w:rsidR="00B55E0D" w:rsidRPr="00B55E0D" w:rsidRDefault="00B55E0D" w:rsidP="00B55E0D">
      <w:pPr>
        <w:jc w:val="both"/>
        <w:rPr>
          <w:rFonts w:ascii="Arial" w:hAnsi="Arial" w:cs="Arial"/>
        </w:rPr>
      </w:pPr>
      <w:r w:rsidRPr="00B55E0D">
        <w:rPr>
          <w:rFonts w:ascii="Arial" w:hAnsi="Arial" w:cs="Arial"/>
        </w:rPr>
        <w:lastRenderedPageBreak/>
        <w:t>Ven T Chow Mc Graw hill. Hidrología Aplicada. (1994.)</w:t>
      </w:r>
    </w:p>
    <w:p w14:paraId="20CBC095" w14:textId="77777777" w:rsidR="00B55E0D" w:rsidRPr="00B55E0D" w:rsidRDefault="00B55E0D" w:rsidP="00B55E0D">
      <w:pPr>
        <w:jc w:val="both"/>
        <w:rPr>
          <w:rFonts w:ascii="Arial" w:hAnsi="Arial" w:cs="Arial"/>
          <w:shd w:val="clear" w:color="auto" w:fill="FFFFFF"/>
        </w:rPr>
      </w:pPr>
      <w:r w:rsidRPr="00B55E0D">
        <w:rPr>
          <w:rFonts w:ascii="Arial" w:hAnsi="Arial" w:cs="Arial"/>
          <w:shd w:val="clear" w:color="auto" w:fill="FFFFFF"/>
        </w:rPr>
        <w:t>Zambrano, B. C. (2002). La biodiversidad bogotana. Editorial Revista La Tadeo, Universidad Jorge Tadeo Lozano.</w:t>
      </w:r>
    </w:p>
    <w:p w14:paraId="43A7CD39" w14:textId="77777777" w:rsidR="00B55E0D" w:rsidRPr="00B55E0D" w:rsidRDefault="00B55E0D" w:rsidP="00B55E0D">
      <w:pPr>
        <w:jc w:val="both"/>
        <w:rPr>
          <w:rFonts w:ascii="Arial" w:hAnsi="Arial" w:cs="Arial"/>
        </w:rPr>
      </w:pPr>
    </w:p>
    <w:p w14:paraId="1778ED49" w14:textId="77777777" w:rsidR="00B55E0D" w:rsidRPr="00B55E0D" w:rsidRDefault="00B55E0D" w:rsidP="00B55E0D">
      <w:pPr>
        <w:jc w:val="both"/>
        <w:rPr>
          <w:rFonts w:ascii="Arial" w:hAnsi="Arial" w:cs="Arial"/>
        </w:rPr>
      </w:pPr>
    </w:p>
    <w:p w14:paraId="1C1A1326" w14:textId="77777777" w:rsidR="00967A25" w:rsidRPr="00B55E0D" w:rsidRDefault="00967A25" w:rsidP="00B55E0D">
      <w:pPr>
        <w:jc w:val="both"/>
        <w:rPr>
          <w:rFonts w:ascii="Arial" w:hAnsi="Arial" w:cs="Arial"/>
        </w:rPr>
      </w:pPr>
    </w:p>
    <w:sectPr w:rsidR="00967A25" w:rsidRPr="00B55E0D" w:rsidSect="007D78BE">
      <w:headerReference w:type="default" r:id="rId17"/>
      <w:footerReference w:type="default" r:id="rId18"/>
      <w:headerReference w:type="first" r:id="rId1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29AFE" w14:textId="77777777" w:rsidR="00F83982" w:rsidRDefault="00F83982" w:rsidP="00433806">
      <w:pPr>
        <w:spacing w:after="0" w:line="240" w:lineRule="auto"/>
      </w:pPr>
      <w:r>
        <w:separator/>
      </w:r>
    </w:p>
  </w:endnote>
  <w:endnote w:type="continuationSeparator" w:id="0">
    <w:p w14:paraId="2348C557" w14:textId="77777777" w:rsidR="00F83982" w:rsidRDefault="00F83982" w:rsidP="00433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832987"/>
      <w:docPartObj>
        <w:docPartGallery w:val="Page Numbers (Bottom of Page)"/>
        <w:docPartUnique/>
      </w:docPartObj>
    </w:sdtPr>
    <w:sdtEndPr/>
    <w:sdtContent>
      <w:sdt>
        <w:sdtPr>
          <w:id w:val="-215437709"/>
          <w:docPartObj>
            <w:docPartGallery w:val="Page Numbers (Bottom of Page)"/>
            <w:docPartUnique/>
          </w:docPartObj>
        </w:sdtPr>
        <w:sdtContent>
          <w:p w14:paraId="0D952896" w14:textId="7A46C1CE" w:rsidR="00433806" w:rsidRDefault="007D78BE" w:rsidP="007D78BE">
            <w:pPr>
              <w:jc w:val="center"/>
            </w:pPr>
            <w:r>
              <w:rPr>
                <w:noProof/>
              </w:rPr>
              <mc:AlternateContent>
                <mc:Choice Requires="wps">
                  <w:drawing>
                    <wp:anchor distT="4294967295" distB="4294967295" distL="114300" distR="114300" simplePos="0" relativeHeight="251666432" behindDoc="0" locked="0" layoutInCell="1" allowOverlap="1" wp14:anchorId="28F7FD70" wp14:editId="4CC2853B">
                      <wp:simplePos x="0" y="0"/>
                      <wp:positionH relativeFrom="column">
                        <wp:posOffset>0</wp:posOffset>
                      </wp:positionH>
                      <wp:positionV relativeFrom="paragraph">
                        <wp:posOffset>-38735</wp:posOffset>
                      </wp:positionV>
                      <wp:extent cx="5600700" cy="0"/>
                      <wp:effectExtent l="0" t="0" r="0" b="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18A813" id="Conector recto 3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" strokecolor="#7f7f7f [1612]"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t>2</w:t>
            </w:r>
            <w:r w:rsidRPr="00F76845">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C623" w14:textId="77777777" w:rsidR="00F83982" w:rsidRDefault="00F83982" w:rsidP="00433806">
      <w:pPr>
        <w:spacing w:after="0" w:line="240" w:lineRule="auto"/>
      </w:pPr>
      <w:r>
        <w:separator/>
      </w:r>
    </w:p>
  </w:footnote>
  <w:footnote w:type="continuationSeparator" w:id="0">
    <w:p w14:paraId="252B53BB" w14:textId="77777777" w:rsidR="00F83982" w:rsidRDefault="00F83982" w:rsidP="00433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4407"/>
      <w:gridCol w:w="2336"/>
    </w:tblGrid>
    <w:tr w:rsidR="00433806" w:rsidRPr="0056319A" w14:paraId="4B7D1B84" w14:textId="77777777" w:rsidTr="007D78BE">
      <w:trPr>
        <w:trHeight w:val="1408"/>
        <w:jc w:val="center"/>
      </w:trPr>
      <w:tc>
        <w:tcPr>
          <w:tcW w:w="1751" w:type="dxa"/>
          <w:vAlign w:val="center"/>
        </w:tcPr>
        <w:p w14:paraId="34A295F8" w14:textId="77777777" w:rsidR="00433806" w:rsidRPr="0056319A" w:rsidRDefault="00433806" w:rsidP="00433806">
          <w:pPr>
            <w:rPr>
              <w:lang w:val="es-ES"/>
            </w:rPr>
          </w:pPr>
          <w:bookmarkStart w:id="17" w:name="_Hlk81566879"/>
          <w:r w:rsidRPr="0056319A">
            <w:rPr>
              <w:noProof/>
              <w:lang w:val="es-MX" w:eastAsia="es-MX"/>
            </w:rPr>
            <w:drawing>
              <wp:anchor distT="0" distB="0" distL="114300" distR="114300" simplePos="0" relativeHeight="251659264" behindDoc="1" locked="0" layoutInCell="1" allowOverlap="1" wp14:anchorId="19957870" wp14:editId="163A203B">
                <wp:simplePos x="0" y="0"/>
                <wp:positionH relativeFrom="column">
                  <wp:posOffset>124460</wp:posOffset>
                </wp:positionH>
                <wp:positionV relativeFrom="paragraph">
                  <wp:posOffset>5715</wp:posOffset>
                </wp:positionV>
                <wp:extent cx="858520" cy="85153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7" w:type="dxa"/>
          <w:vAlign w:val="center"/>
        </w:tcPr>
        <w:p w14:paraId="5C6011C0" w14:textId="77777777" w:rsidR="00433806" w:rsidRPr="0056319A" w:rsidRDefault="00433806" w:rsidP="00433806">
          <w:pPr>
            <w:autoSpaceDE w:val="0"/>
            <w:autoSpaceDN w:val="0"/>
            <w:adjustRightInd w:val="0"/>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336" w:type="dxa"/>
          <w:vAlign w:val="center"/>
        </w:tcPr>
        <w:p w14:paraId="6C95D79A" w14:textId="77777777" w:rsidR="00433806" w:rsidRPr="0056319A" w:rsidRDefault="00433806" w:rsidP="00433806">
          <w:pPr>
            <w:rPr>
              <w:lang w:val="es-ES"/>
            </w:rPr>
          </w:pPr>
          <w:r w:rsidRPr="0056319A">
            <w:rPr>
              <w:noProof/>
              <w:lang w:val="es-MX" w:eastAsia="es-MX"/>
            </w:rPr>
            <mc:AlternateContent>
              <mc:Choice Requires="wpg">
                <w:drawing>
                  <wp:anchor distT="0" distB="0" distL="114300" distR="114300" simplePos="0" relativeHeight="251660288" behindDoc="0" locked="0" layoutInCell="1" allowOverlap="1" wp14:anchorId="4EF32C1C" wp14:editId="61EFFC3F">
                    <wp:simplePos x="0" y="0"/>
                    <wp:positionH relativeFrom="column">
                      <wp:posOffset>17145</wp:posOffset>
                    </wp:positionH>
                    <wp:positionV relativeFrom="paragraph">
                      <wp:posOffset>-25400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E0C561" id="Grupo 10" o:spid="_x0000_s1026" style="position:absolute;margin-left:1.35pt;margin-top:-2pt;width:105.75pt;height:47.25pt;z-index:25166028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7" o:title=""/>
                    </v:shape>
                  </v:group>
                </w:pict>
              </mc:Fallback>
            </mc:AlternateContent>
          </w:r>
        </w:p>
      </w:tc>
    </w:tr>
  </w:tbl>
  <w:bookmarkEnd w:id="17"/>
  <w:p w14:paraId="78E9A416" w14:textId="4DE72471" w:rsidR="00433806" w:rsidRDefault="007D78BE">
    <w:pPr>
      <w:pStyle w:val="Encabezado"/>
    </w:pPr>
    <w:r>
      <w:rPr>
        <w:noProof/>
      </w:rPr>
      <w:drawing>
        <wp:anchor distT="0" distB="3556" distL="114300" distR="120396" simplePos="0" relativeHeight="251664384" behindDoc="1" locked="0" layoutInCell="1" allowOverlap="1" wp14:anchorId="376DE056" wp14:editId="2F3C3320">
          <wp:simplePos x="0" y="0"/>
          <wp:positionH relativeFrom="margin">
            <wp:align>center</wp:align>
          </wp:positionH>
          <wp:positionV relativeFrom="paragraph">
            <wp:posOffset>2790190</wp:posOffset>
          </wp:positionV>
          <wp:extent cx="2209927" cy="2394077"/>
          <wp:effectExtent l="0" t="0" r="0" b="635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07BA" w14:textId="5AFD098A" w:rsidR="007D78BE" w:rsidRDefault="007D78BE">
    <w:pPr>
      <w:pStyle w:val="Encabezado"/>
    </w:pPr>
    <w:r>
      <w:rPr>
        <w:noProof/>
      </w:rPr>
      <w:drawing>
        <wp:anchor distT="0" distB="3556" distL="114300" distR="120396" simplePos="0" relativeHeight="251662336" behindDoc="1" locked="0" layoutInCell="1" allowOverlap="1" wp14:anchorId="3863E1F4" wp14:editId="670F3813">
          <wp:simplePos x="0" y="0"/>
          <wp:positionH relativeFrom="margin">
            <wp:align>center</wp:align>
          </wp:positionH>
          <wp:positionV relativeFrom="paragraph">
            <wp:posOffset>3695065</wp:posOffset>
          </wp:positionV>
          <wp:extent cx="2209927" cy="2394077"/>
          <wp:effectExtent l="0" t="0" r="0" b="6350"/>
          <wp:wrapNone/>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C4F82"/>
    <w:multiLevelType w:val="multilevel"/>
    <w:tmpl w:val="8274388C"/>
    <w:lvl w:ilvl="0">
      <w:start w:val="1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pStyle w:val="Ttulo3"/>
      <w:isLgl/>
      <w:lvlText w:val="%1.%2.%3"/>
      <w:lvlJc w:val="left"/>
      <w:pPr>
        <w:ind w:left="1004" w:hanging="720"/>
      </w:pPr>
      <w:rPr>
        <w:rFonts w:hint="default"/>
      </w:rPr>
    </w:lvl>
    <w:lvl w:ilvl="3">
      <w:start w:val="1"/>
      <w:numFmt w:val="decimal"/>
      <w:pStyle w:val="Ttulo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E0D"/>
    <w:rsid w:val="000F66CC"/>
    <w:rsid w:val="001014D1"/>
    <w:rsid w:val="002A3B10"/>
    <w:rsid w:val="00333EDA"/>
    <w:rsid w:val="00396415"/>
    <w:rsid w:val="003D119D"/>
    <w:rsid w:val="00433806"/>
    <w:rsid w:val="0068610E"/>
    <w:rsid w:val="007451A6"/>
    <w:rsid w:val="007614A0"/>
    <w:rsid w:val="007D78BE"/>
    <w:rsid w:val="008655DA"/>
    <w:rsid w:val="00967A25"/>
    <w:rsid w:val="00AD024A"/>
    <w:rsid w:val="00B55E0D"/>
    <w:rsid w:val="00BA041D"/>
    <w:rsid w:val="00BA6689"/>
    <w:rsid w:val="00CE0BF0"/>
    <w:rsid w:val="00DF28EE"/>
    <w:rsid w:val="00F8398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D57F"/>
  <w15:chartTrackingRefBased/>
  <w15:docId w15:val="{58E8C049-CB18-4F5D-9298-75CDF840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NG-PORCE III (T1),título 1,ARTICULO 1º,1 ghost,g,Titre1,CONT,ING-PORCE III (T1)1,ING-PORCE III (T1)2,ING-PORCE III (T1)11,ING-PORCE III (T1)3,ING-PORCE III (T1)12,ING-PORCE III (T1)4,ING-PORCE III (T1)5,ING-PORCE III (T1)6,ING-PORCE III (T1)7"/>
    <w:basedOn w:val="Normal"/>
    <w:next w:val="Normal"/>
    <w:link w:val="Ttulo1Car"/>
    <w:autoRedefine/>
    <w:uiPriority w:val="9"/>
    <w:qFormat/>
    <w:rsid w:val="00B55E0D"/>
    <w:pPr>
      <w:keepNext/>
      <w:numPr>
        <w:numId w:val="1"/>
      </w:numPr>
      <w:spacing w:before="960" w:after="480" w:line="240" w:lineRule="auto"/>
      <w:jc w:val="center"/>
      <w:outlineLvl w:val="0"/>
    </w:pPr>
    <w:rPr>
      <w:rFonts w:ascii="Arial" w:eastAsia="Times New Roman" w:hAnsi="Arial" w:cs="Times New Roman"/>
      <w:b/>
      <w:caps/>
      <w:sz w:val="20"/>
      <w:szCs w:val="20"/>
    </w:rPr>
  </w:style>
  <w:style w:type="paragraph" w:styleId="Ttulo3">
    <w:name w:val="heading 3"/>
    <w:aliases w:val="Numeral,TITULO 3,título 3,ING-PORCE III (T3),Título 333,Título 333 Car Car,h3,3,Título 3 CL,Título 3 CL1,ING-PORCE III (T3)1,Título 3 CL2,ING-PORCE III (T3)2,Título 3 CL11,ING-PORCE III (T3)11,Título 3 CL3,ING-PORCE III (T3)3,Título 3 CL4,Edga"/>
    <w:basedOn w:val="Normal"/>
    <w:next w:val="Normal"/>
    <w:link w:val="Ttulo3Car"/>
    <w:autoRedefine/>
    <w:uiPriority w:val="9"/>
    <w:qFormat/>
    <w:rsid w:val="00B55E0D"/>
    <w:pPr>
      <w:keepNext/>
      <w:numPr>
        <w:ilvl w:val="2"/>
        <w:numId w:val="1"/>
      </w:numPr>
      <w:spacing w:before="240" w:after="120" w:line="240" w:lineRule="auto"/>
      <w:ind w:left="0" w:firstLine="0"/>
      <w:jc w:val="both"/>
      <w:outlineLvl w:val="2"/>
    </w:pPr>
    <w:rPr>
      <w:rFonts w:ascii="Arial" w:eastAsia="Times New Roman" w:hAnsi="Arial" w:cs="Arial"/>
      <w:b/>
      <w:color w:val="000000"/>
      <w:sz w:val="20"/>
      <w:szCs w:val="20"/>
      <w:lang w:val="es-ES_tradnl"/>
    </w:rPr>
  </w:style>
  <w:style w:type="paragraph" w:styleId="Ttulo4">
    <w:name w:val="heading 4"/>
    <w:aliases w:val="NumNivel4"/>
    <w:basedOn w:val="Ttulo3"/>
    <w:next w:val="Normal"/>
    <w:link w:val="Ttulo4Car"/>
    <w:autoRedefine/>
    <w:qFormat/>
    <w:rsid w:val="00B55E0D"/>
    <w:pPr>
      <w:numPr>
        <w:ilvl w:val="3"/>
      </w:numPr>
      <w:ind w:left="0" w:firstLine="0"/>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G-PORCE III (T1) Car,título 1 Car,ARTICULO 1º Car,1 ghost Car,g Car,Titre1 Car,CONT Car,ING-PORCE III (T1)1 Car,ING-PORCE III (T1)2 Car,ING-PORCE III (T1)11 Car,ING-PORCE III (T1)3 Car,ING-PORCE III (T1)12 Car,ING-PORCE III (T1)4 Car"/>
    <w:basedOn w:val="Fuentedeprrafopredeter"/>
    <w:link w:val="Ttulo1"/>
    <w:uiPriority w:val="9"/>
    <w:rsid w:val="00B55E0D"/>
    <w:rPr>
      <w:rFonts w:ascii="Arial" w:eastAsia="Times New Roman" w:hAnsi="Arial" w:cs="Times New Roman"/>
      <w:b/>
      <w:caps/>
      <w:sz w:val="20"/>
      <w:szCs w:val="20"/>
    </w:rPr>
  </w:style>
  <w:style w:type="character" w:customStyle="1" w:styleId="Ttulo3Car">
    <w:name w:val="Título 3 Car"/>
    <w:aliases w:val="Numeral Car,TITULO 3 Car,título 3 Car,ING-PORCE III (T3) Car,Título 333 Car,Título 333 Car Car Car,h3 Car,3 Car,Título 3 CL Car,Título 3 CL1 Car,ING-PORCE III (T3)1 Car,Título 3 CL2 Car,ING-PORCE III (T3)2 Car,Título 3 CL11 Car,Edga Car"/>
    <w:basedOn w:val="Fuentedeprrafopredeter"/>
    <w:link w:val="Ttulo3"/>
    <w:uiPriority w:val="9"/>
    <w:rsid w:val="00B55E0D"/>
    <w:rPr>
      <w:rFonts w:ascii="Arial" w:eastAsia="Times New Roman" w:hAnsi="Arial" w:cs="Arial"/>
      <w:b/>
      <w:color w:val="000000"/>
      <w:sz w:val="20"/>
      <w:szCs w:val="20"/>
      <w:lang w:val="es-ES_tradnl"/>
    </w:rPr>
  </w:style>
  <w:style w:type="character" w:customStyle="1" w:styleId="Ttulo4Car">
    <w:name w:val="Título 4 Car"/>
    <w:aliases w:val="NumNivel4 Car"/>
    <w:basedOn w:val="Fuentedeprrafopredeter"/>
    <w:link w:val="Ttulo4"/>
    <w:rsid w:val="00B55E0D"/>
    <w:rPr>
      <w:rFonts w:ascii="Arial" w:eastAsia="Times New Roman" w:hAnsi="Arial" w:cs="Arial"/>
      <w:color w:val="000000"/>
      <w:sz w:val="20"/>
      <w:szCs w:val="20"/>
      <w:lang w:val="es-ES_tradnl"/>
    </w:rPr>
  </w:style>
  <w:style w:type="character" w:styleId="Hipervnculo">
    <w:name w:val="Hyperlink"/>
    <w:uiPriority w:val="99"/>
    <w:rsid w:val="00B55E0D"/>
    <w:rPr>
      <w:color w:val="0000FF"/>
      <w:u w:val="single"/>
    </w:rPr>
  </w:style>
  <w:style w:type="paragraph" w:styleId="Textonotapie">
    <w:name w:val="footnote text"/>
    <w:aliases w:val="ft,Footnote Text Char1,Footnote Text Char Char,Footnote Text Char2 Char1 Char,fn Char1 Char Char,Footnote Text Char1 Char Char Char,Footnote Text Char Char Char Char Char,Footnote Text Char Char1 Char Char,fn Char Char Char Char,Car1,ft C"/>
    <w:basedOn w:val="Normal"/>
    <w:link w:val="TextonotapieCar"/>
    <w:unhideWhenUsed/>
    <w:rsid w:val="00B55E0D"/>
    <w:pPr>
      <w:spacing w:after="0" w:line="240" w:lineRule="auto"/>
      <w:jc w:val="both"/>
    </w:pPr>
    <w:rPr>
      <w:rFonts w:ascii="Arial" w:eastAsia="Times New Roman" w:hAnsi="Arial" w:cs="Times New Roman"/>
      <w:sz w:val="20"/>
      <w:szCs w:val="20"/>
    </w:rPr>
  </w:style>
  <w:style w:type="character" w:customStyle="1" w:styleId="TextonotapieCar">
    <w:name w:val="Texto nota pie Car"/>
    <w:aliases w:val="ft Car,Footnote Text Char1 Car,Footnote Text Char Char Car,Footnote Text Char2 Char1 Char Car,fn Char1 Char Char Car,Footnote Text Char1 Char Char Char Car,Footnote Text Char Char Char Char Char Car,fn Char Char Char Char Car,Car1 Car"/>
    <w:basedOn w:val="Fuentedeprrafopredeter"/>
    <w:link w:val="Textonotapie"/>
    <w:rsid w:val="00B55E0D"/>
    <w:rPr>
      <w:rFonts w:ascii="Arial" w:eastAsia="Times New Roman" w:hAnsi="Arial" w:cs="Times New Roman"/>
      <w:sz w:val="20"/>
      <w:szCs w:val="20"/>
    </w:rPr>
  </w:style>
  <w:style w:type="paragraph" w:customStyle="1" w:styleId="Ttulo2">
    <w:name w:val="Título2"/>
    <w:aliases w:val="Subtítulo2"/>
    <w:basedOn w:val="Normal"/>
    <w:next w:val="Normal"/>
    <w:autoRedefine/>
    <w:qFormat/>
    <w:rsid w:val="00B55E0D"/>
    <w:pPr>
      <w:numPr>
        <w:ilvl w:val="1"/>
        <w:numId w:val="1"/>
      </w:numPr>
      <w:spacing w:before="360" w:after="240" w:line="240" w:lineRule="auto"/>
      <w:ind w:left="0" w:firstLine="0"/>
      <w:jc w:val="both"/>
      <w:outlineLvl w:val="1"/>
    </w:pPr>
    <w:rPr>
      <w:rFonts w:ascii="Arial" w:eastAsia="Times New Roman" w:hAnsi="Arial" w:cs="Times New Roman"/>
      <w:b/>
      <w:caps/>
      <w:sz w:val="20"/>
      <w:szCs w:val="20"/>
      <w:lang w:val="es-MX" w:bidi="he-IL"/>
    </w:rPr>
  </w:style>
  <w:style w:type="character" w:customStyle="1" w:styleId="apple-converted-space">
    <w:name w:val="apple-converted-space"/>
    <w:basedOn w:val="Fuentedeprrafopredeter"/>
    <w:rsid w:val="00B55E0D"/>
  </w:style>
  <w:style w:type="paragraph" w:styleId="Encabezado">
    <w:name w:val="header"/>
    <w:aliases w:val="encabezado,Encabezado Car Car,Encabezado Car Car Car Car Car,Encabezado Car Car Car Car,Encabezado2,Haut de page,Encabezado1,Encabezado11,encabezado1,Encabezado12,encabezado2,Encabezado111,encabezado11,Encabezado13,encabezado3,Encabezado14"/>
    <w:basedOn w:val="Normal"/>
    <w:link w:val="EncabezadoCar"/>
    <w:unhideWhenUsed/>
    <w:qFormat/>
    <w:rsid w:val="00433806"/>
    <w:pPr>
      <w:tabs>
        <w:tab w:val="center" w:pos="4419"/>
        <w:tab w:val="right" w:pos="8838"/>
      </w:tabs>
      <w:spacing w:after="0" w:line="240" w:lineRule="auto"/>
    </w:pPr>
  </w:style>
  <w:style w:type="character" w:customStyle="1" w:styleId="EncabezadoCar">
    <w:name w:val="Encabezado Car"/>
    <w:aliases w:val="encabezado Car,Encabezado Car Car Car,Encabezado Car Car Car Car Car Car,Encabezado Car Car Car Car Car1,Encabezado2 Car,Haut de page Car,Encabezado1 Car,Encabezado11 Car,encabezado1 Car,Encabezado12 Car,encabezado2 Car,Encabezado111 Car"/>
    <w:basedOn w:val="Fuentedeprrafopredeter"/>
    <w:link w:val="Encabezado"/>
    <w:rsid w:val="00433806"/>
  </w:style>
  <w:style w:type="paragraph" w:styleId="Piedepgina">
    <w:name w:val="footer"/>
    <w:aliases w:val="Referencia de Documento,pie de página,Bas de page,Bas de page Car"/>
    <w:basedOn w:val="Normal"/>
    <w:link w:val="PiedepginaCar"/>
    <w:uiPriority w:val="99"/>
    <w:unhideWhenUsed/>
    <w:rsid w:val="00433806"/>
    <w:pPr>
      <w:tabs>
        <w:tab w:val="center" w:pos="4419"/>
        <w:tab w:val="right" w:pos="8838"/>
      </w:tabs>
      <w:spacing w:after="0" w:line="240" w:lineRule="auto"/>
    </w:pPr>
  </w:style>
  <w:style w:type="character" w:customStyle="1" w:styleId="PiedepginaCar">
    <w:name w:val="Pie de página Car"/>
    <w:aliases w:val="Referencia de Documento Car,pie de página Car,Bas de page Car1,Bas de page Car Car"/>
    <w:basedOn w:val="Fuentedeprrafopredeter"/>
    <w:link w:val="Piedepgina"/>
    <w:uiPriority w:val="99"/>
    <w:rsid w:val="00433806"/>
  </w:style>
  <w:style w:type="paragraph" w:customStyle="1" w:styleId="Normaltablas">
    <w:name w:val="Normal tablas"/>
    <w:basedOn w:val="Normal"/>
    <w:uiPriority w:val="99"/>
    <w:qFormat/>
    <w:rsid w:val="00CE0BF0"/>
    <w:pPr>
      <w:spacing w:before="240" w:after="0" w:line="240" w:lineRule="auto"/>
      <w:jc w:val="center"/>
    </w:pPr>
    <w:rPr>
      <w:rFonts w:ascii="Arial Narrow" w:eastAsia="Calibri" w:hAnsi="Arial Narrow" w:cs="Times New Roman"/>
      <w:bCs/>
      <w:color w:val="000000"/>
      <w:sz w:val="20"/>
    </w:rPr>
  </w:style>
  <w:style w:type="paragraph" w:customStyle="1" w:styleId="CENTRADO">
    <w:name w:val="CENTRADO"/>
    <w:uiPriority w:val="99"/>
    <w:rsid w:val="00CE0BF0"/>
    <w:pPr>
      <w:widowControl w:val="0"/>
      <w:autoSpaceDN w:val="0"/>
      <w:snapToGrid w:val="0"/>
      <w:spacing w:after="0" w:line="240" w:lineRule="auto"/>
      <w:jc w:val="center"/>
    </w:pPr>
    <w:rPr>
      <w:rFonts w:ascii="Courier" w:eastAsia="Times New Roman" w:hAnsi="Courier"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folk.uio.no/ohammer/past/diversity.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ab-sigue.maps.arcgis.com/apps/webappviewer/index.html?id=6ad170bd1cdc450b823bd22d0786431d&amp;scale=40000"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irdlife.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60.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50.png"/><Relationship Id="rId5" Type="http://schemas.openxmlformats.org/officeDocument/2006/relationships/image" Target="media/image40.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Pages>
  <Words>1930</Words>
  <Characters>10621</Characters>
  <Application>Microsoft Office Word</Application>
  <DocSecurity>0</DocSecurity>
  <Lines>88</Lines>
  <Paragraphs>25</Paragraphs>
  <ScaleCrop>false</ScaleCrop>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MUCHACHOS</dc:creator>
  <cp:keywords/>
  <dc:description/>
  <cp:lastModifiedBy>Juan Pablo Urbina Ibarra</cp:lastModifiedBy>
  <cp:revision>16</cp:revision>
  <dcterms:created xsi:type="dcterms:W3CDTF">2022-01-07T03:22:00Z</dcterms:created>
  <dcterms:modified xsi:type="dcterms:W3CDTF">2022-02-25T23:59:00Z</dcterms:modified>
</cp:coreProperties>
</file>