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203769"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6CE54AAB" w14:textId="4F0EF35D" w:rsidR="00AC6618" w:rsidRDefault="00B877CC">
          <w:pPr>
            <w:pStyle w:val="TDC1"/>
            <w:tabs>
              <w:tab w:val="left" w:pos="440"/>
              <w:tab w:val="right" w:leader="dot" w:pos="9962"/>
            </w:tabs>
            <w:rPr>
              <w:rFonts w:asciiTheme="minorHAnsi" w:eastAsiaTheme="minorEastAsia" w:hAnsiTheme="minorHAnsi"/>
              <w:noProof/>
              <w:lang w:eastAsia="es-CO"/>
            </w:rPr>
          </w:pPr>
          <w:r>
            <w:fldChar w:fldCharType="begin"/>
          </w:r>
          <w:r>
            <w:instrText xml:space="preserve"> TOC \o "1-3" \h \z \u </w:instrText>
          </w:r>
          <w:r>
            <w:fldChar w:fldCharType="separate"/>
          </w:r>
          <w:hyperlink w:anchor="_Toc102026606" w:history="1">
            <w:r w:rsidR="00AC6618" w:rsidRPr="004065CE">
              <w:rPr>
                <w:rStyle w:val="Hipervnculo"/>
                <w:noProof/>
              </w:rPr>
              <w:t>1.</w:t>
            </w:r>
            <w:r w:rsidR="00AC6618">
              <w:rPr>
                <w:rFonts w:asciiTheme="minorHAnsi" w:eastAsiaTheme="minorEastAsia" w:hAnsiTheme="minorHAnsi"/>
                <w:noProof/>
                <w:lang w:eastAsia="es-CO"/>
              </w:rPr>
              <w:tab/>
            </w:r>
            <w:r w:rsidR="00AC6618" w:rsidRPr="004065CE">
              <w:rPr>
                <w:rStyle w:val="Hipervnculo"/>
                <w:noProof/>
              </w:rPr>
              <w:t>ALCANCE</w:t>
            </w:r>
            <w:r w:rsidR="00AC6618">
              <w:rPr>
                <w:noProof/>
                <w:webHidden/>
              </w:rPr>
              <w:tab/>
            </w:r>
            <w:r w:rsidR="00AC6618">
              <w:rPr>
                <w:noProof/>
                <w:webHidden/>
              </w:rPr>
              <w:fldChar w:fldCharType="begin"/>
            </w:r>
            <w:r w:rsidR="00AC6618">
              <w:rPr>
                <w:noProof/>
                <w:webHidden/>
              </w:rPr>
              <w:instrText xml:space="preserve"> PAGEREF _Toc102026606 \h </w:instrText>
            </w:r>
            <w:r w:rsidR="00AC6618">
              <w:rPr>
                <w:noProof/>
                <w:webHidden/>
              </w:rPr>
            </w:r>
            <w:r w:rsidR="00AC6618">
              <w:rPr>
                <w:noProof/>
                <w:webHidden/>
              </w:rPr>
              <w:fldChar w:fldCharType="separate"/>
            </w:r>
            <w:r w:rsidR="00F00416">
              <w:rPr>
                <w:noProof/>
                <w:webHidden/>
              </w:rPr>
              <w:t>2</w:t>
            </w:r>
            <w:r w:rsidR="00AC6618">
              <w:rPr>
                <w:noProof/>
                <w:webHidden/>
              </w:rPr>
              <w:fldChar w:fldCharType="end"/>
            </w:r>
          </w:hyperlink>
        </w:p>
        <w:p w14:paraId="336E67BA" w14:textId="3996300C"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07" w:history="1">
            <w:r w:rsidR="00AC6618" w:rsidRPr="004065CE">
              <w:rPr>
                <w:rStyle w:val="Hipervnculo"/>
                <w:noProof/>
              </w:rPr>
              <w:t>2.</w:t>
            </w:r>
            <w:r w:rsidR="00AC6618">
              <w:rPr>
                <w:rFonts w:asciiTheme="minorHAnsi" w:eastAsiaTheme="minorEastAsia" w:hAnsiTheme="minorHAnsi"/>
                <w:noProof/>
                <w:lang w:eastAsia="es-CO"/>
              </w:rPr>
              <w:tab/>
            </w:r>
            <w:r w:rsidR="00AC6618" w:rsidRPr="004065CE">
              <w:rPr>
                <w:rStyle w:val="Hipervnculo"/>
                <w:noProof/>
              </w:rPr>
              <w:t>MATERIALES</w:t>
            </w:r>
            <w:r w:rsidR="00AC6618">
              <w:rPr>
                <w:noProof/>
                <w:webHidden/>
              </w:rPr>
              <w:tab/>
            </w:r>
            <w:r w:rsidR="00AC6618">
              <w:rPr>
                <w:noProof/>
                <w:webHidden/>
              </w:rPr>
              <w:fldChar w:fldCharType="begin"/>
            </w:r>
            <w:r w:rsidR="00AC6618">
              <w:rPr>
                <w:noProof/>
                <w:webHidden/>
              </w:rPr>
              <w:instrText xml:space="preserve"> PAGEREF _Toc102026607 \h </w:instrText>
            </w:r>
            <w:r w:rsidR="00AC6618">
              <w:rPr>
                <w:noProof/>
                <w:webHidden/>
              </w:rPr>
            </w:r>
            <w:r w:rsidR="00AC6618">
              <w:rPr>
                <w:noProof/>
                <w:webHidden/>
              </w:rPr>
              <w:fldChar w:fldCharType="separate"/>
            </w:r>
            <w:r w:rsidR="00F00416">
              <w:rPr>
                <w:noProof/>
                <w:webHidden/>
              </w:rPr>
              <w:t>2</w:t>
            </w:r>
            <w:r w:rsidR="00AC6618">
              <w:rPr>
                <w:noProof/>
                <w:webHidden/>
              </w:rPr>
              <w:fldChar w:fldCharType="end"/>
            </w:r>
          </w:hyperlink>
        </w:p>
        <w:p w14:paraId="2D8E09BC" w14:textId="05FBC1F8"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08" w:history="1">
            <w:r w:rsidR="00AC6618" w:rsidRPr="004065CE">
              <w:rPr>
                <w:rStyle w:val="Hipervnculo"/>
                <w:noProof/>
              </w:rPr>
              <w:t>3.</w:t>
            </w:r>
            <w:r w:rsidR="00AC6618">
              <w:rPr>
                <w:rFonts w:asciiTheme="minorHAnsi" w:eastAsiaTheme="minorEastAsia" w:hAnsiTheme="minorHAnsi"/>
                <w:noProof/>
                <w:lang w:eastAsia="es-CO"/>
              </w:rPr>
              <w:tab/>
            </w:r>
            <w:r w:rsidR="00AC6618" w:rsidRPr="004065CE">
              <w:rPr>
                <w:rStyle w:val="Hipervnculo"/>
                <w:noProof/>
              </w:rPr>
              <w:t>EQUIPO.</w:t>
            </w:r>
            <w:r w:rsidR="00AC6618">
              <w:rPr>
                <w:noProof/>
                <w:webHidden/>
              </w:rPr>
              <w:tab/>
            </w:r>
            <w:r w:rsidR="00AC6618">
              <w:rPr>
                <w:noProof/>
                <w:webHidden/>
              </w:rPr>
              <w:fldChar w:fldCharType="begin"/>
            </w:r>
            <w:r w:rsidR="00AC6618">
              <w:rPr>
                <w:noProof/>
                <w:webHidden/>
              </w:rPr>
              <w:instrText xml:space="preserve"> PAGEREF _Toc102026608 \h </w:instrText>
            </w:r>
            <w:r w:rsidR="00AC6618">
              <w:rPr>
                <w:noProof/>
                <w:webHidden/>
              </w:rPr>
            </w:r>
            <w:r w:rsidR="00AC6618">
              <w:rPr>
                <w:noProof/>
                <w:webHidden/>
              </w:rPr>
              <w:fldChar w:fldCharType="separate"/>
            </w:r>
            <w:r w:rsidR="00F00416">
              <w:rPr>
                <w:noProof/>
                <w:webHidden/>
              </w:rPr>
              <w:t>2</w:t>
            </w:r>
            <w:r w:rsidR="00AC6618">
              <w:rPr>
                <w:noProof/>
                <w:webHidden/>
              </w:rPr>
              <w:fldChar w:fldCharType="end"/>
            </w:r>
          </w:hyperlink>
        </w:p>
        <w:p w14:paraId="3D184FDB" w14:textId="714CAF2F"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09" w:history="1">
            <w:r w:rsidR="00AC6618" w:rsidRPr="004065CE">
              <w:rPr>
                <w:rStyle w:val="Hipervnculo"/>
                <w:noProof/>
              </w:rPr>
              <w:t>4.</w:t>
            </w:r>
            <w:r w:rsidR="00AC6618">
              <w:rPr>
                <w:rFonts w:asciiTheme="minorHAnsi" w:eastAsiaTheme="minorEastAsia" w:hAnsiTheme="minorHAnsi"/>
                <w:noProof/>
                <w:lang w:eastAsia="es-CO"/>
              </w:rPr>
              <w:tab/>
            </w:r>
            <w:r w:rsidR="00AC6618" w:rsidRPr="004065CE">
              <w:rPr>
                <w:rStyle w:val="Hipervnculo"/>
                <w:noProof/>
              </w:rPr>
              <w:t>REQUERIMIENTOS PARA LA EJECUCIÓN DE LOS TRABAJOS</w:t>
            </w:r>
            <w:r w:rsidR="00AC6618">
              <w:rPr>
                <w:noProof/>
                <w:webHidden/>
              </w:rPr>
              <w:tab/>
            </w:r>
            <w:r w:rsidR="00AC6618">
              <w:rPr>
                <w:noProof/>
                <w:webHidden/>
              </w:rPr>
              <w:fldChar w:fldCharType="begin"/>
            </w:r>
            <w:r w:rsidR="00AC6618">
              <w:rPr>
                <w:noProof/>
                <w:webHidden/>
              </w:rPr>
              <w:instrText xml:space="preserve"> PAGEREF _Toc102026609 \h </w:instrText>
            </w:r>
            <w:r w:rsidR="00AC6618">
              <w:rPr>
                <w:noProof/>
                <w:webHidden/>
              </w:rPr>
            </w:r>
            <w:r w:rsidR="00AC6618">
              <w:rPr>
                <w:noProof/>
                <w:webHidden/>
              </w:rPr>
              <w:fldChar w:fldCharType="separate"/>
            </w:r>
            <w:r w:rsidR="00F00416">
              <w:rPr>
                <w:noProof/>
                <w:webHidden/>
              </w:rPr>
              <w:t>2</w:t>
            </w:r>
            <w:r w:rsidR="00AC6618">
              <w:rPr>
                <w:noProof/>
                <w:webHidden/>
              </w:rPr>
              <w:fldChar w:fldCharType="end"/>
            </w:r>
          </w:hyperlink>
        </w:p>
        <w:p w14:paraId="68BC673D" w14:textId="0CA0D008"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10" w:history="1">
            <w:r w:rsidR="00AC6618" w:rsidRPr="004065CE">
              <w:rPr>
                <w:rStyle w:val="Hipervnculo"/>
                <w:noProof/>
              </w:rPr>
              <w:t>5.</w:t>
            </w:r>
            <w:r w:rsidR="00AC6618">
              <w:rPr>
                <w:rFonts w:asciiTheme="minorHAnsi" w:eastAsiaTheme="minorEastAsia" w:hAnsiTheme="minorHAnsi"/>
                <w:noProof/>
                <w:lang w:eastAsia="es-CO"/>
              </w:rPr>
              <w:tab/>
            </w:r>
            <w:r w:rsidR="00AC6618" w:rsidRPr="004065CE">
              <w:rPr>
                <w:rStyle w:val="Hipervnculo"/>
                <w:noProof/>
              </w:rPr>
              <w:t>CONDICIONES DE ENTREGA PARA EL RECIBO</w:t>
            </w:r>
            <w:r w:rsidR="00AC6618">
              <w:rPr>
                <w:noProof/>
                <w:webHidden/>
              </w:rPr>
              <w:tab/>
            </w:r>
            <w:r w:rsidR="00AC6618">
              <w:rPr>
                <w:noProof/>
                <w:webHidden/>
              </w:rPr>
              <w:fldChar w:fldCharType="begin"/>
            </w:r>
            <w:r w:rsidR="00AC6618">
              <w:rPr>
                <w:noProof/>
                <w:webHidden/>
              </w:rPr>
              <w:instrText xml:space="preserve"> PAGEREF _Toc102026610 \h </w:instrText>
            </w:r>
            <w:r w:rsidR="00AC6618">
              <w:rPr>
                <w:noProof/>
                <w:webHidden/>
              </w:rPr>
            </w:r>
            <w:r w:rsidR="00AC6618">
              <w:rPr>
                <w:noProof/>
                <w:webHidden/>
              </w:rPr>
              <w:fldChar w:fldCharType="separate"/>
            </w:r>
            <w:r w:rsidR="00F00416">
              <w:rPr>
                <w:noProof/>
                <w:webHidden/>
              </w:rPr>
              <w:t>3</w:t>
            </w:r>
            <w:r w:rsidR="00AC6618">
              <w:rPr>
                <w:noProof/>
                <w:webHidden/>
              </w:rPr>
              <w:fldChar w:fldCharType="end"/>
            </w:r>
          </w:hyperlink>
        </w:p>
        <w:p w14:paraId="1ED17178" w14:textId="5383FABF"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11" w:history="1">
            <w:r w:rsidR="00AC6618" w:rsidRPr="004065CE">
              <w:rPr>
                <w:rStyle w:val="Hipervnculo"/>
                <w:noProof/>
              </w:rPr>
              <w:t>6.</w:t>
            </w:r>
            <w:r w:rsidR="00AC6618">
              <w:rPr>
                <w:rFonts w:asciiTheme="minorHAnsi" w:eastAsiaTheme="minorEastAsia" w:hAnsiTheme="minorHAnsi"/>
                <w:noProof/>
                <w:lang w:eastAsia="es-CO"/>
              </w:rPr>
              <w:tab/>
            </w:r>
            <w:r w:rsidR="00AC6618" w:rsidRPr="004065CE">
              <w:rPr>
                <w:rStyle w:val="Hipervnculo"/>
                <w:noProof/>
              </w:rPr>
              <w:t>MEDIDA</w:t>
            </w:r>
            <w:r w:rsidR="00AC6618">
              <w:rPr>
                <w:noProof/>
                <w:webHidden/>
              </w:rPr>
              <w:tab/>
            </w:r>
            <w:r w:rsidR="00AC6618">
              <w:rPr>
                <w:noProof/>
                <w:webHidden/>
              </w:rPr>
              <w:fldChar w:fldCharType="begin"/>
            </w:r>
            <w:r w:rsidR="00AC6618">
              <w:rPr>
                <w:noProof/>
                <w:webHidden/>
              </w:rPr>
              <w:instrText xml:space="preserve"> PAGEREF _Toc102026611 \h </w:instrText>
            </w:r>
            <w:r w:rsidR="00AC6618">
              <w:rPr>
                <w:noProof/>
                <w:webHidden/>
              </w:rPr>
            </w:r>
            <w:r w:rsidR="00AC6618">
              <w:rPr>
                <w:noProof/>
                <w:webHidden/>
              </w:rPr>
              <w:fldChar w:fldCharType="separate"/>
            </w:r>
            <w:r w:rsidR="00F00416">
              <w:rPr>
                <w:noProof/>
                <w:webHidden/>
              </w:rPr>
              <w:t>3</w:t>
            </w:r>
            <w:r w:rsidR="00AC6618">
              <w:rPr>
                <w:noProof/>
                <w:webHidden/>
              </w:rPr>
              <w:fldChar w:fldCharType="end"/>
            </w:r>
          </w:hyperlink>
        </w:p>
        <w:p w14:paraId="63FAC80E" w14:textId="2A9E129D"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12" w:history="1">
            <w:r w:rsidR="00AC6618" w:rsidRPr="004065CE">
              <w:rPr>
                <w:rStyle w:val="Hipervnculo"/>
                <w:noProof/>
              </w:rPr>
              <w:t>7.</w:t>
            </w:r>
            <w:r w:rsidR="00AC6618">
              <w:rPr>
                <w:rFonts w:asciiTheme="minorHAnsi" w:eastAsiaTheme="minorEastAsia" w:hAnsiTheme="minorHAnsi"/>
                <w:noProof/>
                <w:lang w:eastAsia="es-CO"/>
              </w:rPr>
              <w:tab/>
            </w:r>
            <w:r w:rsidR="00AC6618" w:rsidRPr="004065CE">
              <w:rPr>
                <w:rStyle w:val="Hipervnculo"/>
                <w:noProof/>
              </w:rPr>
              <w:t>FORMA DE PAGO</w:t>
            </w:r>
            <w:r w:rsidR="00AC6618">
              <w:rPr>
                <w:noProof/>
                <w:webHidden/>
              </w:rPr>
              <w:tab/>
            </w:r>
            <w:r w:rsidR="00AC6618">
              <w:rPr>
                <w:noProof/>
                <w:webHidden/>
              </w:rPr>
              <w:fldChar w:fldCharType="begin"/>
            </w:r>
            <w:r w:rsidR="00AC6618">
              <w:rPr>
                <w:noProof/>
                <w:webHidden/>
              </w:rPr>
              <w:instrText xml:space="preserve"> PAGEREF _Toc102026612 \h </w:instrText>
            </w:r>
            <w:r w:rsidR="00AC6618">
              <w:rPr>
                <w:noProof/>
                <w:webHidden/>
              </w:rPr>
            </w:r>
            <w:r w:rsidR="00AC6618">
              <w:rPr>
                <w:noProof/>
                <w:webHidden/>
              </w:rPr>
              <w:fldChar w:fldCharType="separate"/>
            </w:r>
            <w:r w:rsidR="00F00416">
              <w:rPr>
                <w:noProof/>
                <w:webHidden/>
              </w:rPr>
              <w:t>3</w:t>
            </w:r>
            <w:r w:rsidR="00AC6618">
              <w:rPr>
                <w:noProof/>
                <w:webHidden/>
              </w:rPr>
              <w:fldChar w:fldCharType="end"/>
            </w:r>
          </w:hyperlink>
        </w:p>
        <w:p w14:paraId="26D9BB85" w14:textId="71B5AB74" w:rsidR="00AC6618" w:rsidRDefault="00203769">
          <w:pPr>
            <w:pStyle w:val="TDC1"/>
            <w:tabs>
              <w:tab w:val="left" w:pos="440"/>
              <w:tab w:val="right" w:leader="dot" w:pos="9962"/>
            </w:tabs>
            <w:rPr>
              <w:rFonts w:asciiTheme="minorHAnsi" w:eastAsiaTheme="minorEastAsia" w:hAnsiTheme="minorHAnsi"/>
              <w:noProof/>
              <w:lang w:eastAsia="es-CO"/>
            </w:rPr>
          </w:pPr>
          <w:hyperlink w:anchor="_Toc102026613" w:history="1">
            <w:r w:rsidR="00AC6618" w:rsidRPr="004065CE">
              <w:rPr>
                <w:rStyle w:val="Hipervnculo"/>
                <w:noProof/>
              </w:rPr>
              <w:t>8.</w:t>
            </w:r>
            <w:r w:rsidR="00AC6618">
              <w:rPr>
                <w:rFonts w:asciiTheme="minorHAnsi" w:eastAsiaTheme="minorEastAsia" w:hAnsiTheme="minorHAnsi"/>
                <w:noProof/>
                <w:lang w:eastAsia="es-CO"/>
              </w:rPr>
              <w:tab/>
            </w:r>
            <w:r w:rsidR="00AC6618" w:rsidRPr="004065CE">
              <w:rPr>
                <w:rStyle w:val="Hipervnculo"/>
                <w:noProof/>
              </w:rPr>
              <w:t>ÍTEM DE PAGO</w:t>
            </w:r>
            <w:r w:rsidR="00AC6618">
              <w:rPr>
                <w:noProof/>
                <w:webHidden/>
              </w:rPr>
              <w:tab/>
            </w:r>
            <w:r w:rsidR="00AC6618">
              <w:rPr>
                <w:noProof/>
                <w:webHidden/>
              </w:rPr>
              <w:fldChar w:fldCharType="begin"/>
            </w:r>
            <w:r w:rsidR="00AC6618">
              <w:rPr>
                <w:noProof/>
                <w:webHidden/>
              </w:rPr>
              <w:instrText xml:space="preserve"> PAGEREF _Toc102026613 \h </w:instrText>
            </w:r>
            <w:r w:rsidR="00AC6618">
              <w:rPr>
                <w:noProof/>
                <w:webHidden/>
              </w:rPr>
            </w:r>
            <w:r w:rsidR="00AC6618">
              <w:rPr>
                <w:noProof/>
                <w:webHidden/>
              </w:rPr>
              <w:fldChar w:fldCharType="separate"/>
            </w:r>
            <w:r w:rsidR="00F00416">
              <w:rPr>
                <w:noProof/>
                <w:webHidden/>
              </w:rPr>
              <w:t>3</w:t>
            </w:r>
            <w:r w:rsidR="00AC6618">
              <w:rPr>
                <w:noProof/>
                <w:webHidden/>
              </w:rPr>
              <w:fldChar w:fldCharType="end"/>
            </w:r>
          </w:hyperlink>
        </w:p>
        <w:p w14:paraId="41BBB0FE" w14:textId="09FBAF84"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555CCB4B" w14:textId="40B0E3D0" w:rsidR="008F7CB8" w:rsidRPr="009D02D8" w:rsidRDefault="00203769" w:rsidP="00AC6618">
      <w:pPr>
        <w:tabs>
          <w:tab w:val="left" w:pos="5880"/>
        </w:tabs>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25822D52" w14:textId="77777777" w:rsidR="007A146A" w:rsidRDefault="007A146A" w:rsidP="00D912E0"/>
    <w:p w14:paraId="182E7C74" w14:textId="672BC76F" w:rsidR="00D912E0" w:rsidRDefault="00D912E0" w:rsidP="009F7240">
      <w:pPr>
        <w:pStyle w:val="Ttulo1"/>
        <w:numPr>
          <w:ilvl w:val="0"/>
          <w:numId w:val="2"/>
        </w:numPr>
        <w:ind w:left="426" w:hanging="426"/>
        <w:jc w:val="both"/>
      </w:pPr>
      <w:bookmarkStart w:id="0" w:name="_Toc102026606"/>
      <w:r>
        <w:t>ALCANCE</w:t>
      </w:r>
      <w:bookmarkEnd w:id="0"/>
    </w:p>
    <w:p w14:paraId="158ED7F3" w14:textId="77777777" w:rsidR="009F7240" w:rsidRPr="009F7240" w:rsidRDefault="009F7240" w:rsidP="009F7240">
      <w:pPr>
        <w:jc w:val="both"/>
      </w:pPr>
    </w:p>
    <w:p w14:paraId="7F1BB672" w14:textId="40ED59A5" w:rsidR="009F7240" w:rsidRDefault="009F7240" w:rsidP="009F7240">
      <w:pPr>
        <w:jc w:val="both"/>
        <w:rPr>
          <w:rFonts w:cs="Arial"/>
          <w:lang w:val="es-ES" w:eastAsia="es-ES"/>
        </w:rPr>
      </w:pPr>
      <w:r w:rsidRPr="009F7240">
        <w:rPr>
          <w:rFonts w:cs="Arial"/>
          <w:lang w:val="es-ES" w:eastAsia="es-ES"/>
        </w:rPr>
        <w:t xml:space="preserve">La presente sección específica requisitos generales para el suministro </w:t>
      </w:r>
      <w:r w:rsidR="0011084B">
        <w:rPr>
          <w:rFonts w:cs="Arial"/>
          <w:lang w:val="es-ES" w:eastAsia="es-ES"/>
        </w:rPr>
        <w:t xml:space="preserve">de válvula de tipo </w:t>
      </w:r>
      <w:proofErr w:type="spellStart"/>
      <w:r w:rsidR="0011084B">
        <w:rPr>
          <w:rFonts w:cs="Arial"/>
          <w:lang w:val="es-ES" w:eastAsia="es-ES"/>
        </w:rPr>
        <w:t>pre-acción</w:t>
      </w:r>
      <w:proofErr w:type="spellEnd"/>
      <w:r w:rsidR="0011084B">
        <w:rPr>
          <w:rFonts w:cs="Arial"/>
          <w:lang w:val="es-ES" w:eastAsia="es-ES"/>
        </w:rPr>
        <w:t xml:space="preserve"> de doble enclavamiento para </w:t>
      </w:r>
      <w:r w:rsidRPr="009F7240">
        <w:rPr>
          <w:rFonts w:cs="Arial"/>
          <w:lang w:val="es-ES" w:eastAsia="es-ES"/>
        </w:rPr>
        <w:t>la red contra incendio detalla</w:t>
      </w:r>
      <w:r w:rsidR="0011084B">
        <w:rPr>
          <w:rFonts w:cs="Arial"/>
          <w:lang w:val="es-ES" w:eastAsia="es-ES"/>
        </w:rPr>
        <w:t>da</w:t>
      </w:r>
      <w:r w:rsidRPr="009F7240">
        <w:rPr>
          <w:rFonts w:cs="Arial"/>
          <w:lang w:val="es-ES" w:eastAsia="es-ES"/>
        </w:rPr>
        <w:t xml:space="preserve"> en los Planos específicos anexos a este documento</w:t>
      </w:r>
      <w:r w:rsidR="0011084B">
        <w:rPr>
          <w:rFonts w:cs="Arial"/>
          <w:lang w:val="es-ES" w:eastAsia="es-ES"/>
        </w:rPr>
        <w:t>.</w:t>
      </w:r>
    </w:p>
    <w:p w14:paraId="64DC0153" w14:textId="77777777" w:rsidR="009F7240" w:rsidRPr="009F7240" w:rsidRDefault="009F7240" w:rsidP="009F7240">
      <w:pPr>
        <w:jc w:val="both"/>
        <w:rPr>
          <w:rFonts w:cs="Arial"/>
          <w:lang w:val="es-ES" w:eastAsia="es-ES"/>
        </w:rPr>
      </w:pPr>
    </w:p>
    <w:p w14:paraId="2515BE60" w14:textId="7FEB905B" w:rsidR="00D912E0" w:rsidRDefault="00D912E0" w:rsidP="009F7240">
      <w:pPr>
        <w:pStyle w:val="Ttulo1"/>
        <w:numPr>
          <w:ilvl w:val="0"/>
          <w:numId w:val="2"/>
        </w:numPr>
        <w:ind w:left="426" w:hanging="426"/>
        <w:jc w:val="both"/>
      </w:pPr>
      <w:bookmarkStart w:id="1" w:name="_Toc102026607"/>
      <w:r>
        <w:t>MATERIALES</w:t>
      </w:r>
      <w:bookmarkEnd w:id="1"/>
    </w:p>
    <w:p w14:paraId="7351BA6B" w14:textId="6E248797" w:rsidR="00D912E0" w:rsidRDefault="00D912E0" w:rsidP="00AC6618">
      <w:pPr>
        <w:jc w:val="both"/>
      </w:pPr>
    </w:p>
    <w:p w14:paraId="79D82CB6" w14:textId="6BC8A58E" w:rsidR="0011084B" w:rsidRDefault="0011084B" w:rsidP="0011084B">
      <w:pPr>
        <w:jc w:val="both"/>
      </w:pPr>
      <w:r>
        <w:t xml:space="preserve">Gabinete con válvula </w:t>
      </w:r>
      <w:r w:rsidR="008600A0">
        <w:t xml:space="preserve">de </w:t>
      </w:r>
      <w:proofErr w:type="spellStart"/>
      <w:r w:rsidR="002F25C4">
        <w:t>pre-acción</w:t>
      </w:r>
      <w:proofErr w:type="spellEnd"/>
      <w:r>
        <w:t xml:space="preserve"> integrada y </w:t>
      </w:r>
      <w:r w:rsidR="002F25C4">
        <w:t>preensamblada</w:t>
      </w:r>
      <w:r>
        <w:t xml:space="preserve"> para protección contra incendio.</w:t>
      </w:r>
      <w:r>
        <w:t xml:space="preserve"> Todo el paquete </w:t>
      </w:r>
      <w:r>
        <w:t>debe estar</w:t>
      </w:r>
      <w:r>
        <w:t xml:space="preserve"> precableado</w:t>
      </w:r>
      <w:r>
        <w:t>,</w:t>
      </w:r>
      <w:r>
        <w:t xml:space="preserve"> la entrada y salida de agua de la válvula </w:t>
      </w:r>
      <w:r w:rsidR="008600A0">
        <w:t xml:space="preserve">deben ser con unión </w:t>
      </w:r>
      <w:r>
        <w:t>ranurada para proporcionar un tiempo de instalación mínimo.</w:t>
      </w:r>
      <w:r w:rsidR="002F279D">
        <w:t xml:space="preserve"> </w:t>
      </w:r>
      <w:r>
        <w:t xml:space="preserve">El </w:t>
      </w:r>
      <w:r w:rsidR="008600A0">
        <w:t>gabine</w:t>
      </w:r>
      <w:r>
        <w:t>te d</w:t>
      </w:r>
      <w:r>
        <w:t>e</w:t>
      </w:r>
      <w:r>
        <w:t xml:space="preserve"> </w:t>
      </w:r>
      <w:r>
        <w:t xml:space="preserve">la </w:t>
      </w:r>
      <w:r>
        <w:t>válvula</w:t>
      </w:r>
      <w:r>
        <w:t xml:space="preserve"> </w:t>
      </w:r>
      <w:proofErr w:type="spellStart"/>
      <w:r>
        <w:t>pre-acción</w:t>
      </w:r>
      <w:proofErr w:type="spellEnd"/>
      <w:r>
        <w:t xml:space="preserve"> debe</w:t>
      </w:r>
      <w:r>
        <w:t xml:space="preserve"> inclu</w:t>
      </w:r>
      <w:r>
        <w:t>ir</w:t>
      </w:r>
      <w:r w:rsidR="002F279D">
        <w:t xml:space="preserve"> los siguiente elementos y </w:t>
      </w:r>
      <w:r w:rsidR="002F25C4">
        <w:t>características</w:t>
      </w:r>
      <w:r>
        <w:t>:</w:t>
      </w:r>
    </w:p>
    <w:p w14:paraId="7F160525" w14:textId="77777777" w:rsidR="0011084B" w:rsidRDefault="0011084B" w:rsidP="0011084B">
      <w:pPr>
        <w:pStyle w:val="Prrafodelista"/>
        <w:numPr>
          <w:ilvl w:val="0"/>
          <w:numId w:val="33"/>
        </w:numPr>
        <w:jc w:val="both"/>
      </w:pPr>
      <w:r>
        <w:t>V</w:t>
      </w:r>
      <w:r>
        <w:t>álvula de control de cierre (manual) del sistema</w:t>
      </w:r>
      <w:r>
        <w:t>.</w:t>
      </w:r>
    </w:p>
    <w:p w14:paraId="13BD1657" w14:textId="77777777" w:rsidR="0011084B" w:rsidRDefault="0011084B" w:rsidP="0011084B">
      <w:pPr>
        <w:pStyle w:val="Prrafodelista"/>
        <w:numPr>
          <w:ilvl w:val="0"/>
          <w:numId w:val="33"/>
        </w:numPr>
        <w:jc w:val="both"/>
      </w:pPr>
      <w:r>
        <w:t>V</w:t>
      </w:r>
      <w:r>
        <w:t>álvula de control de agua automática</w:t>
      </w:r>
      <w:r>
        <w:t>.</w:t>
      </w:r>
    </w:p>
    <w:p w14:paraId="7CF806F4" w14:textId="77777777" w:rsidR="0011084B" w:rsidRDefault="0011084B" w:rsidP="0011084B">
      <w:pPr>
        <w:pStyle w:val="Prrafodelista"/>
        <w:numPr>
          <w:ilvl w:val="0"/>
          <w:numId w:val="33"/>
        </w:numPr>
        <w:jc w:val="both"/>
      </w:pPr>
      <w:r>
        <w:t>I</w:t>
      </w:r>
      <w:r>
        <w:t>nterruptores de supervisión/flujo de agua.</w:t>
      </w:r>
    </w:p>
    <w:p w14:paraId="525F3F82" w14:textId="77777777" w:rsidR="00544FA1" w:rsidRDefault="0011084B" w:rsidP="0011084B">
      <w:pPr>
        <w:pStyle w:val="Prrafodelista"/>
        <w:numPr>
          <w:ilvl w:val="0"/>
          <w:numId w:val="33"/>
        </w:numPr>
        <w:jc w:val="both"/>
      </w:pPr>
      <w:r>
        <w:t>C</w:t>
      </w:r>
      <w:r>
        <w:t>ompresor de aire integrado con controles asociados proporciona un suministro de aire automático para su uso como supervisión y activación neumática de la válvula de control de agua automática.</w:t>
      </w:r>
    </w:p>
    <w:p w14:paraId="0CE21F27" w14:textId="77777777" w:rsidR="002F279D" w:rsidRDefault="00544FA1" w:rsidP="0011084B">
      <w:pPr>
        <w:pStyle w:val="Prrafodelista"/>
        <w:numPr>
          <w:ilvl w:val="0"/>
          <w:numId w:val="33"/>
        </w:numPr>
        <w:jc w:val="both"/>
      </w:pPr>
      <w:r>
        <w:t>P</w:t>
      </w:r>
      <w:r w:rsidR="0011084B">
        <w:t>anel de control y baterías de respaldo para brindar funciones de alarma eléctrica, supervisión y problemas.</w:t>
      </w:r>
    </w:p>
    <w:p w14:paraId="6B68215C" w14:textId="09C2F6A5" w:rsidR="0011084B" w:rsidRDefault="002F279D" w:rsidP="0011084B">
      <w:pPr>
        <w:pStyle w:val="Prrafodelista"/>
        <w:numPr>
          <w:ilvl w:val="0"/>
          <w:numId w:val="33"/>
        </w:numPr>
        <w:jc w:val="both"/>
      </w:pPr>
      <w:r>
        <w:t>M</w:t>
      </w:r>
      <w:r w:rsidR="0011084B">
        <w:t>anómetros.</w:t>
      </w:r>
    </w:p>
    <w:p w14:paraId="7BF34C06" w14:textId="77777777" w:rsidR="00351476" w:rsidRDefault="002F279D" w:rsidP="00AA1C26">
      <w:pPr>
        <w:pStyle w:val="Prrafodelista"/>
        <w:numPr>
          <w:ilvl w:val="0"/>
          <w:numId w:val="33"/>
        </w:numPr>
        <w:jc w:val="both"/>
      </w:pPr>
      <w:r>
        <w:t xml:space="preserve">Todos los indicadores y la pantalla del panel </w:t>
      </w:r>
      <w:r w:rsidR="00AA1C26">
        <w:t>deben ser</w:t>
      </w:r>
      <w:r>
        <w:t xml:space="preserve"> visibles desde el exterior</w:t>
      </w:r>
      <w:r w:rsidR="00351476">
        <w:t>.</w:t>
      </w:r>
    </w:p>
    <w:p w14:paraId="61C97793" w14:textId="2E2FD461" w:rsidR="00AA1C26" w:rsidRDefault="00AA1C26" w:rsidP="00AA1C26">
      <w:pPr>
        <w:pStyle w:val="Prrafodelista"/>
        <w:numPr>
          <w:ilvl w:val="0"/>
          <w:numId w:val="33"/>
        </w:numPr>
        <w:jc w:val="both"/>
      </w:pPr>
      <w:r>
        <w:t>Doble enclavamiento eléctrico/neumático</w:t>
      </w:r>
    </w:p>
    <w:p w14:paraId="5384968D" w14:textId="77777777" w:rsidR="002F279D" w:rsidRDefault="002F279D" w:rsidP="00AC6618">
      <w:pPr>
        <w:jc w:val="both"/>
      </w:pPr>
    </w:p>
    <w:p w14:paraId="6A5271EA" w14:textId="3F4F14BE" w:rsidR="00D912E0" w:rsidRDefault="00D912E0" w:rsidP="009F7240">
      <w:pPr>
        <w:pStyle w:val="Ttulo1"/>
        <w:numPr>
          <w:ilvl w:val="0"/>
          <w:numId w:val="2"/>
        </w:numPr>
        <w:ind w:left="426" w:hanging="426"/>
        <w:jc w:val="both"/>
      </w:pPr>
      <w:bookmarkStart w:id="2" w:name="_Toc102026608"/>
      <w:r>
        <w:t>EQUIPO</w:t>
      </w:r>
      <w:r w:rsidR="009F7240">
        <w:t>.</w:t>
      </w:r>
      <w:bookmarkEnd w:id="2"/>
    </w:p>
    <w:p w14:paraId="57DBA0AE" w14:textId="1FB0087B" w:rsidR="009F7240" w:rsidRDefault="009F7240" w:rsidP="009F7240">
      <w:pPr>
        <w:jc w:val="both"/>
      </w:pPr>
    </w:p>
    <w:p w14:paraId="652579B1" w14:textId="48387B9C" w:rsidR="002F25C4" w:rsidRDefault="002F25C4" w:rsidP="009F7240">
      <w:pPr>
        <w:jc w:val="both"/>
      </w:pPr>
      <w:r>
        <w:t xml:space="preserve">    Herramienta menor.</w:t>
      </w:r>
    </w:p>
    <w:p w14:paraId="5785EF41" w14:textId="77777777" w:rsidR="002F25C4" w:rsidRPr="009F7240" w:rsidRDefault="002F25C4" w:rsidP="009F7240">
      <w:pPr>
        <w:jc w:val="both"/>
      </w:pPr>
    </w:p>
    <w:p w14:paraId="0A8BAE68" w14:textId="6FD09A89" w:rsidR="00D912E0" w:rsidRDefault="00D912E0" w:rsidP="009F7240">
      <w:pPr>
        <w:pStyle w:val="Ttulo1"/>
        <w:numPr>
          <w:ilvl w:val="0"/>
          <w:numId w:val="2"/>
        </w:numPr>
        <w:ind w:left="426" w:hanging="426"/>
        <w:jc w:val="both"/>
      </w:pPr>
      <w:bookmarkStart w:id="3" w:name="_Toc102026609"/>
      <w:r>
        <w:t>REQUERIMIENTOS PARA LA EJECUCIÓN DE LOS TRABAJOS</w:t>
      </w:r>
      <w:bookmarkEnd w:id="3"/>
      <w:r w:rsidR="00351476">
        <w:t>.</w:t>
      </w:r>
    </w:p>
    <w:p w14:paraId="30C57195" w14:textId="21A325B1" w:rsidR="00351476" w:rsidRPr="00351476" w:rsidRDefault="00351476" w:rsidP="00351476">
      <w:pPr>
        <w:jc w:val="both"/>
      </w:pPr>
    </w:p>
    <w:p w14:paraId="65F507B1" w14:textId="2AAA27EF" w:rsidR="00351476" w:rsidRDefault="00143E48" w:rsidP="00F82B77">
      <w:pPr>
        <w:pStyle w:val="Prrafodelista"/>
        <w:numPr>
          <w:ilvl w:val="0"/>
          <w:numId w:val="36"/>
        </w:numPr>
        <w:jc w:val="both"/>
      </w:pPr>
      <w:r w:rsidRPr="00351476">
        <w:t>Consultar planos generales</w:t>
      </w:r>
      <w:r w:rsidR="009945A2">
        <w:t xml:space="preserve"> de incendio</w:t>
      </w:r>
      <w:r w:rsidRPr="00351476">
        <w:t xml:space="preserve"> y cumplir con las especificaciones generales</w:t>
      </w:r>
      <w:r w:rsidR="00351476" w:rsidRPr="00351476">
        <w:t>.</w:t>
      </w:r>
    </w:p>
    <w:p w14:paraId="061995DC" w14:textId="235A8DEF" w:rsidR="009945A2" w:rsidRPr="00351476" w:rsidRDefault="009945A2" w:rsidP="00F82B77">
      <w:pPr>
        <w:pStyle w:val="Prrafodelista"/>
        <w:numPr>
          <w:ilvl w:val="0"/>
          <w:numId w:val="36"/>
        </w:numPr>
        <w:jc w:val="both"/>
      </w:pPr>
      <w:r w:rsidRPr="00351476">
        <w:t>Consultar planos generales</w:t>
      </w:r>
      <w:r>
        <w:t xml:space="preserve"> de</w:t>
      </w:r>
      <w:r>
        <w:t xml:space="preserve"> desagüe para la conexión de drenaje</w:t>
      </w:r>
      <w:r w:rsidR="00F82B77">
        <w:t>.</w:t>
      </w:r>
    </w:p>
    <w:p w14:paraId="5CCAC913" w14:textId="77777777" w:rsidR="009945A2" w:rsidRPr="00351476" w:rsidRDefault="009945A2" w:rsidP="00351476">
      <w:pPr>
        <w:jc w:val="both"/>
      </w:pPr>
    </w:p>
    <w:p w14:paraId="1FF5CC2E" w14:textId="2C76D5CE" w:rsidR="00143E48" w:rsidRPr="00351476" w:rsidRDefault="00143E48" w:rsidP="00F82B77">
      <w:pPr>
        <w:pStyle w:val="Prrafodelista"/>
        <w:numPr>
          <w:ilvl w:val="0"/>
          <w:numId w:val="36"/>
        </w:numPr>
        <w:jc w:val="both"/>
      </w:pPr>
      <w:r w:rsidRPr="00351476">
        <w:t>Revisar certificación de cumplimiento de normatividad expedido por el proveedor</w:t>
      </w:r>
      <w:r w:rsidR="0011084B" w:rsidRPr="00351476">
        <w:t>.</w:t>
      </w:r>
    </w:p>
    <w:p w14:paraId="0799BE3D" w14:textId="77777777" w:rsidR="00F82B77" w:rsidRDefault="009945A2" w:rsidP="00F82B77">
      <w:pPr>
        <w:pStyle w:val="Prrafodelista"/>
        <w:numPr>
          <w:ilvl w:val="0"/>
          <w:numId w:val="36"/>
        </w:numPr>
        <w:jc w:val="both"/>
      </w:pPr>
      <w:r>
        <w:t xml:space="preserve">El gabinete integrado y preensamblado de </w:t>
      </w:r>
      <w:proofErr w:type="spellStart"/>
      <w:r>
        <w:t>pre-acción</w:t>
      </w:r>
      <w:proofErr w:type="spellEnd"/>
      <w:r w:rsidR="00351476" w:rsidRPr="00351476">
        <w:t xml:space="preserve"> debe ser instalad</w:t>
      </w:r>
      <w:r>
        <w:t>o</w:t>
      </w:r>
      <w:r w:rsidR="00351476" w:rsidRPr="00351476">
        <w:t xml:space="preserve"> y mantenido de acuerdo </w:t>
      </w:r>
      <w:r>
        <w:t>a la ficha técnica del fabricante</w:t>
      </w:r>
      <w:r w:rsidR="00351476" w:rsidRPr="00351476">
        <w:t xml:space="preserve"> y con las normas aplicables de la NFPA</w:t>
      </w:r>
      <w:r w:rsidR="00F82B77">
        <w:t>,</w:t>
      </w:r>
      <w:r w:rsidR="00351476" w:rsidRPr="00351476">
        <w:t xml:space="preserve"> además de las normas de cualquier autoridad que tenga jurisdicción</w:t>
      </w:r>
      <w:r w:rsidR="00F82B77">
        <w:t>.</w:t>
      </w:r>
    </w:p>
    <w:p w14:paraId="72CFAB0B" w14:textId="14127B8E" w:rsidR="00F82B77" w:rsidRDefault="00F82B77" w:rsidP="00F82B77">
      <w:pPr>
        <w:pStyle w:val="Prrafodelista"/>
        <w:numPr>
          <w:ilvl w:val="0"/>
          <w:numId w:val="36"/>
        </w:numPr>
        <w:jc w:val="both"/>
      </w:pPr>
      <w:r>
        <w:t xml:space="preserve">Temperatura ambiente mínima </w:t>
      </w:r>
      <w:r>
        <w:t>en el espacio a instalar de</w:t>
      </w:r>
      <w:r>
        <w:t xml:space="preserve"> 40 °F (4 °C)</w:t>
      </w:r>
      <w:r>
        <w:t xml:space="preserve"> o la indicada por la ficha técnica de la válvula.</w:t>
      </w:r>
    </w:p>
    <w:p w14:paraId="241AB275" w14:textId="0B842755" w:rsidR="00F82B77" w:rsidRDefault="00F82B77" w:rsidP="00F00154">
      <w:pPr>
        <w:pStyle w:val="Prrafodelista"/>
        <w:numPr>
          <w:ilvl w:val="0"/>
          <w:numId w:val="36"/>
        </w:numPr>
        <w:jc w:val="both"/>
      </w:pPr>
      <w:r>
        <w:t>La c</w:t>
      </w:r>
      <w:r>
        <w:t>olocación del gabinete</w:t>
      </w:r>
      <w:r>
        <w:t>, la c</w:t>
      </w:r>
      <w:r>
        <w:t>onexión de las tuberías del sistema</w:t>
      </w:r>
      <w:r>
        <w:t>, las c</w:t>
      </w:r>
      <w:r>
        <w:t>onexiones eléctricas</w:t>
      </w:r>
      <w:r>
        <w:t xml:space="preserve"> y la p</w:t>
      </w:r>
      <w:r>
        <w:t>uesta en marcha del sistema</w:t>
      </w:r>
      <w:r>
        <w:t xml:space="preserve"> se realizará siguiendo las indicaciones descritas en el manual del fabricante.</w:t>
      </w:r>
    </w:p>
    <w:p w14:paraId="67E5AD56" w14:textId="58A00AE8" w:rsidR="008600A0" w:rsidRDefault="008600A0" w:rsidP="00F00154">
      <w:pPr>
        <w:pStyle w:val="Prrafodelista"/>
        <w:numPr>
          <w:ilvl w:val="0"/>
          <w:numId w:val="36"/>
        </w:numPr>
        <w:jc w:val="both"/>
      </w:pPr>
      <w:r>
        <w:t>El sistema de detección para la activación de la válvula debe llevar la señal respectiva para su funcionamiento.</w:t>
      </w:r>
    </w:p>
    <w:p w14:paraId="7933287F" w14:textId="77777777" w:rsidR="00F82B77" w:rsidRPr="00351476" w:rsidRDefault="00F82B77" w:rsidP="00351476">
      <w:pPr>
        <w:jc w:val="both"/>
      </w:pPr>
    </w:p>
    <w:p w14:paraId="72F49358" w14:textId="6A333BE7" w:rsidR="00D912E0" w:rsidRDefault="00D912E0" w:rsidP="009F7240">
      <w:pPr>
        <w:pStyle w:val="Ttulo1"/>
        <w:numPr>
          <w:ilvl w:val="0"/>
          <w:numId w:val="2"/>
        </w:numPr>
        <w:ind w:left="426" w:hanging="426"/>
        <w:jc w:val="both"/>
      </w:pPr>
      <w:bookmarkStart w:id="4" w:name="_Toc102026610"/>
      <w:r>
        <w:t>CONDICIONES DE ENTREGA PARA EL RECIBO</w:t>
      </w:r>
      <w:bookmarkEnd w:id="4"/>
    </w:p>
    <w:p w14:paraId="6C2270A3" w14:textId="378D3FD1" w:rsidR="00D912E0" w:rsidRDefault="00DF0288" w:rsidP="009F7240">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p>
    <w:p w14:paraId="23B81568" w14:textId="04D0BCDF" w:rsidR="001B342A" w:rsidRDefault="002F25C4" w:rsidP="009F7240">
      <w:pPr>
        <w:pStyle w:val="Prrafodelista"/>
        <w:numPr>
          <w:ilvl w:val="0"/>
          <w:numId w:val="37"/>
        </w:numPr>
        <w:suppressAutoHyphens/>
        <w:autoSpaceDE w:val="0"/>
        <w:autoSpaceDN w:val="0"/>
        <w:adjustRightInd w:val="0"/>
        <w:spacing w:after="0" w:line="240" w:lineRule="auto"/>
        <w:jc w:val="both"/>
        <w:rPr>
          <w:rFonts w:asciiTheme="minorHAnsi" w:hAnsiTheme="minorHAnsi" w:cstheme="minorHAnsi"/>
          <w:lang w:val="es-ES"/>
        </w:rPr>
      </w:pPr>
      <w:r w:rsidRPr="001B342A">
        <w:rPr>
          <w:rFonts w:asciiTheme="minorHAnsi" w:hAnsiTheme="minorHAnsi" w:cstheme="minorHAnsi"/>
          <w:lang w:val="es-ES"/>
        </w:rPr>
        <w:t>Pruebas de presión según norma NFPA.</w:t>
      </w:r>
    </w:p>
    <w:p w14:paraId="56EA7427" w14:textId="77777777" w:rsidR="008600A0" w:rsidRPr="008600A0" w:rsidRDefault="008600A0" w:rsidP="008600A0">
      <w:pPr>
        <w:suppressAutoHyphens/>
        <w:autoSpaceDE w:val="0"/>
        <w:autoSpaceDN w:val="0"/>
        <w:adjustRightInd w:val="0"/>
        <w:spacing w:after="0" w:line="240" w:lineRule="auto"/>
        <w:ind w:left="360"/>
        <w:jc w:val="both"/>
        <w:rPr>
          <w:rFonts w:asciiTheme="minorHAnsi" w:hAnsiTheme="minorHAnsi" w:cstheme="minorHAnsi"/>
          <w:lang w:val="es-ES"/>
        </w:rPr>
      </w:pPr>
    </w:p>
    <w:p w14:paraId="686BED40" w14:textId="2BD6BD3E" w:rsidR="00D912E0" w:rsidRDefault="00D912E0" w:rsidP="009F7240">
      <w:pPr>
        <w:pStyle w:val="Ttulo1"/>
        <w:numPr>
          <w:ilvl w:val="0"/>
          <w:numId w:val="2"/>
        </w:numPr>
        <w:ind w:left="426" w:hanging="426"/>
        <w:jc w:val="both"/>
      </w:pPr>
      <w:bookmarkStart w:id="5" w:name="_Toc102026611"/>
      <w:r>
        <w:t>MEDIDA</w:t>
      </w:r>
      <w:bookmarkEnd w:id="5"/>
    </w:p>
    <w:p w14:paraId="7C71477F" w14:textId="6731FA9B" w:rsidR="008F7CB8" w:rsidRDefault="00DF0288" w:rsidP="009F7240">
      <w:pPr>
        <w:tabs>
          <w:tab w:val="left" w:pos="5844"/>
        </w:tabs>
        <w:ind w:left="426" w:hanging="426"/>
        <w:jc w:val="both"/>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E730AE">
        <w:rPr>
          <w:rFonts w:asciiTheme="minorHAnsi" w:hAnsiTheme="minorHAnsi" w:cstheme="minorHAnsi"/>
          <w:lang w:val="es-ES"/>
        </w:rPr>
        <w:t>unidad</w:t>
      </w:r>
      <w:r w:rsidR="00DE5C6C">
        <w:rPr>
          <w:rFonts w:asciiTheme="minorHAnsi" w:hAnsiTheme="minorHAnsi" w:cstheme="minorHAnsi"/>
          <w:lang w:val="es-ES"/>
        </w:rPr>
        <w:t>.</w:t>
      </w:r>
      <w:r w:rsidR="00FE1DF6">
        <w:rPr>
          <w:rFonts w:asciiTheme="minorHAnsi" w:hAnsiTheme="minorHAnsi" w:cstheme="minorHAnsi"/>
          <w:lang w:val="es-ES"/>
        </w:rPr>
        <w:tab/>
      </w:r>
    </w:p>
    <w:p w14:paraId="691DECE4" w14:textId="20D0BD63" w:rsidR="00D912E0" w:rsidRDefault="00D912E0" w:rsidP="009F7240">
      <w:pPr>
        <w:pStyle w:val="Ttulo1"/>
        <w:numPr>
          <w:ilvl w:val="0"/>
          <w:numId w:val="2"/>
        </w:numPr>
        <w:ind w:left="426" w:hanging="426"/>
        <w:jc w:val="both"/>
      </w:pPr>
      <w:bookmarkStart w:id="6" w:name="_Toc102026612"/>
      <w:r>
        <w:t>FORMA DE PAGO</w:t>
      </w:r>
      <w:bookmarkEnd w:id="6"/>
    </w:p>
    <w:p w14:paraId="5DD5008A" w14:textId="65E55B8F" w:rsidR="00D912E0" w:rsidRDefault="00DF0288" w:rsidP="009F7240">
      <w:pPr>
        <w:ind w:left="426" w:hanging="426"/>
        <w:jc w:val="both"/>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E730AE">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9F7240">
      <w:pPr>
        <w:pStyle w:val="Ttulo1"/>
        <w:numPr>
          <w:ilvl w:val="0"/>
          <w:numId w:val="2"/>
        </w:numPr>
        <w:ind w:left="426" w:hanging="426"/>
        <w:jc w:val="both"/>
      </w:pPr>
      <w:bookmarkStart w:id="7" w:name="_Toc102026613"/>
      <w:r>
        <w:t>ÍTEM DE PAGO</w:t>
      </w:r>
      <w:bookmarkEnd w:id="7"/>
    </w:p>
    <w:p w14:paraId="00077FCD" w14:textId="2BFCB672" w:rsidR="00D912E0" w:rsidRPr="00D912E0" w:rsidRDefault="00DF0288" w:rsidP="009F7240">
      <w:pPr>
        <w:ind w:left="426" w:hanging="426"/>
        <w:jc w:val="both"/>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E730AE">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9F7240">
      <w:pPr>
        <w:ind w:left="426" w:hanging="426"/>
        <w:jc w:val="both"/>
      </w:pPr>
    </w:p>
    <w:p w14:paraId="30669D78" w14:textId="671AF7C4" w:rsidR="00DF0288" w:rsidRDefault="00DF0288" w:rsidP="009F7240">
      <w:pPr>
        <w:ind w:left="426" w:hanging="426"/>
        <w:jc w:val="both"/>
      </w:pPr>
    </w:p>
    <w:p w14:paraId="109FF565" w14:textId="6395D957" w:rsidR="00DF0288" w:rsidRDefault="00DF0288" w:rsidP="009F7240">
      <w:pPr>
        <w:ind w:left="426" w:hanging="426"/>
        <w:jc w:val="both"/>
      </w:pPr>
    </w:p>
    <w:p w14:paraId="06BFBA8C" w14:textId="77777777" w:rsidR="00DF0288" w:rsidRDefault="00DF0288" w:rsidP="009F7240">
      <w:pPr>
        <w:ind w:left="426" w:hanging="426"/>
        <w:jc w:val="both"/>
      </w:pPr>
    </w:p>
    <w:p w14:paraId="28FC77F6" w14:textId="77777777" w:rsidR="008F7CB8" w:rsidRDefault="008F7CB8" w:rsidP="009F7240">
      <w:pPr>
        <w:pStyle w:val="Textoindependiente"/>
        <w:spacing w:before="7"/>
        <w:jc w:val="both"/>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9F7240">
            <w:pPr>
              <w:pStyle w:val="TableParagraph"/>
              <w:spacing w:before="1"/>
              <w:ind w:left="95"/>
              <w:jc w:val="both"/>
              <w:rPr>
                <w:rFonts w:ascii="Arial"/>
                <w:b/>
                <w:sz w:val="18"/>
              </w:rPr>
            </w:pPr>
          </w:p>
          <w:p w14:paraId="03B0BB87" w14:textId="77777777" w:rsidR="008F7CB8" w:rsidRDefault="008F7CB8" w:rsidP="009F7240">
            <w:pPr>
              <w:pStyle w:val="TableParagraph"/>
              <w:spacing w:before="1"/>
              <w:ind w:left="95"/>
              <w:jc w:val="both"/>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9F7240">
            <w:pPr>
              <w:pStyle w:val="TableParagraph"/>
              <w:spacing w:before="1"/>
              <w:ind w:left="95"/>
              <w:jc w:val="both"/>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9F7240">
            <w:pPr>
              <w:pStyle w:val="TableParagraph"/>
              <w:spacing w:before="8"/>
              <w:jc w:val="both"/>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9F7240">
            <w:pPr>
              <w:pStyle w:val="TableParagraph"/>
              <w:spacing w:before="1"/>
              <w:ind w:left="95"/>
              <w:jc w:val="both"/>
              <w:rPr>
                <w:rFonts w:ascii="Arial"/>
                <w:b/>
                <w:sz w:val="18"/>
              </w:rPr>
            </w:pPr>
          </w:p>
          <w:p w14:paraId="4D14A49E" w14:textId="77777777" w:rsidR="008F7CB8" w:rsidRDefault="008F7CB8" w:rsidP="009F7240">
            <w:pPr>
              <w:pStyle w:val="TableParagraph"/>
              <w:spacing w:before="1"/>
              <w:ind w:left="95"/>
              <w:jc w:val="both"/>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9F7240">
            <w:pPr>
              <w:pStyle w:val="TableParagraph"/>
              <w:spacing w:before="1"/>
              <w:ind w:left="95"/>
              <w:jc w:val="both"/>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9F7240">
            <w:pPr>
              <w:pStyle w:val="TableParagraph"/>
              <w:spacing w:before="8"/>
              <w:ind w:left="100"/>
              <w:jc w:val="both"/>
              <w:rPr>
                <w:sz w:val="16"/>
              </w:rPr>
            </w:pPr>
          </w:p>
        </w:tc>
      </w:tr>
    </w:tbl>
    <w:p w14:paraId="4E95418E" w14:textId="63747F3F" w:rsidR="008F7CB8" w:rsidRDefault="008F7CB8" w:rsidP="009F7240">
      <w:pPr>
        <w:jc w:val="both"/>
      </w:pPr>
    </w:p>
    <w:p w14:paraId="07427BE4" w14:textId="1C9791CD" w:rsidR="00A270D3" w:rsidRDefault="00A270D3" w:rsidP="009F7240">
      <w:pPr>
        <w:jc w:val="both"/>
      </w:pPr>
    </w:p>
    <w:p w14:paraId="5C0BB432" w14:textId="77777777" w:rsidR="00A270D3" w:rsidRPr="006D7AE1" w:rsidRDefault="00A270D3" w:rsidP="009F7240">
      <w:pPr>
        <w:jc w:val="both"/>
        <w:rPr>
          <w:color w:val="000000" w:themeColor="text1"/>
          <w:lang w:val="es-ES"/>
        </w:rPr>
      </w:pPr>
    </w:p>
    <w:p w14:paraId="7DC1333F" w14:textId="77777777" w:rsidR="00A270D3" w:rsidRDefault="00A270D3" w:rsidP="009F7240">
      <w:pPr>
        <w:jc w:val="both"/>
      </w:pPr>
    </w:p>
    <w:sectPr w:rsidR="00A270D3"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DB75" w14:textId="77777777" w:rsidR="00203769" w:rsidRDefault="00203769" w:rsidP="00F80693">
      <w:pPr>
        <w:spacing w:after="0" w:line="240" w:lineRule="auto"/>
      </w:pPr>
      <w:r>
        <w:separator/>
      </w:r>
    </w:p>
  </w:endnote>
  <w:endnote w:type="continuationSeparator" w:id="0">
    <w:p w14:paraId="724CD710" w14:textId="77777777" w:rsidR="00203769" w:rsidRDefault="00203769"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652A" w14:textId="77777777" w:rsidR="00203769" w:rsidRDefault="00203769" w:rsidP="00F80693">
      <w:pPr>
        <w:spacing w:after="0" w:line="240" w:lineRule="auto"/>
      </w:pPr>
      <w:r>
        <w:separator/>
      </w:r>
    </w:p>
  </w:footnote>
  <w:footnote w:type="continuationSeparator" w:id="0">
    <w:p w14:paraId="0FD1B460" w14:textId="77777777" w:rsidR="00203769" w:rsidRDefault="00203769"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v:imagedata r:id="rId1" o:title=""/>
              </v:shape>
              <o:OLEObject Type="Embed" ProgID="PBrush" ShapeID="_x0000_i1025" DrawAspect="Content" ObjectID="_171265996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49BCDAF7" w:rsidR="00F80693" w:rsidRPr="00DF0288" w:rsidRDefault="00AC6618" w:rsidP="00F02051">
          <w:pPr>
            <w:pStyle w:val="Ttulo3"/>
            <w:tabs>
              <w:tab w:val="center" w:pos="3719"/>
            </w:tabs>
            <w:outlineLvl w:val="2"/>
            <w:rPr>
              <w:rFonts w:asciiTheme="minorHAnsi" w:hAnsiTheme="minorHAnsi" w:cstheme="minorHAnsi"/>
            </w:rPr>
          </w:pPr>
          <w:r>
            <w:t xml:space="preserve"> </w:t>
          </w:r>
          <w:r w:rsidR="002F25C4">
            <w:t>VALVULA PRE-ACCIÓN D=3</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4E45016"/>
    <w:multiLevelType w:val="hybridMultilevel"/>
    <w:tmpl w:val="AC32AC58"/>
    <w:lvl w:ilvl="0" w:tplc="3536C03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097875A0"/>
    <w:multiLevelType w:val="hybridMultilevel"/>
    <w:tmpl w:val="97B21D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1FF36E19"/>
    <w:multiLevelType w:val="hybridMultilevel"/>
    <w:tmpl w:val="064E34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205A5E14"/>
    <w:multiLevelType w:val="hybridMultilevel"/>
    <w:tmpl w:val="DBACFE7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369401D7"/>
    <w:multiLevelType w:val="hybridMultilevel"/>
    <w:tmpl w:val="8856B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3E0D26D9"/>
    <w:multiLevelType w:val="hybridMultilevel"/>
    <w:tmpl w:val="3B0CB92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5" w15:restartNumberingAfterBreak="0">
    <w:nsid w:val="3EDD5FF7"/>
    <w:multiLevelType w:val="multilevel"/>
    <w:tmpl w:val="DA105652"/>
    <w:lvl w:ilvl="0">
      <w:start w:val="1"/>
      <w:numFmt w:val="decimal"/>
      <w:lvlText w:val="%1"/>
      <w:lvlJc w:val="left"/>
      <w:pPr>
        <w:ind w:left="851" w:hanging="851"/>
      </w:pPr>
      <w:rPr>
        <w:rFonts w:ascii="Arial" w:hAnsi="Arial" w:hint="default"/>
        <w:b/>
        <w:i w:val="0"/>
        <w:caps/>
        <w:sz w:val="24"/>
      </w:rPr>
    </w:lvl>
    <w:lvl w:ilvl="1">
      <w:start w:val="1"/>
      <w:numFmt w:val="decimal"/>
      <w:lvlText w:val="%1.%2"/>
      <w:lvlJc w:val="left"/>
      <w:pPr>
        <w:ind w:left="851" w:hanging="851"/>
      </w:pPr>
      <w:rPr>
        <w:rFonts w:hint="default"/>
        <w:caps w:val="0"/>
      </w:rPr>
    </w:lvl>
    <w:lvl w:ilvl="2">
      <w:start w:val="1"/>
      <w:numFmt w:val="decimal"/>
      <w:lvlText w:val="%1.%2.%3"/>
      <w:lvlJc w:val="left"/>
      <w:pPr>
        <w:ind w:left="851" w:hanging="851"/>
      </w:pPr>
      <w:rPr>
        <w:rFonts w:hint="default"/>
        <w:caps w:val="0"/>
        <w:sz w:val="22"/>
      </w:rPr>
    </w:lvl>
    <w:lvl w:ilvl="3">
      <w:start w:val="1"/>
      <w:numFmt w:val="decimal"/>
      <w:lvlText w:val="%1.%2.%3.%4"/>
      <w:lvlJc w:val="left"/>
      <w:pPr>
        <w:ind w:left="851" w:hanging="851"/>
      </w:pPr>
      <w:rPr>
        <w:rFonts w:hint="default"/>
        <w:caps w:val="0"/>
      </w:rPr>
    </w:lvl>
    <w:lvl w:ilvl="4">
      <w:start w:val="1"/>
      <w:numFmt w:val="decimal"/>
      <w:lvlText w:val="%1.%2.%3.%4.%5"/>
      <w:lvlJc w:val="left"/>
      <w:pPr>
        <w:ind w:left="431" w:hanging="431"/>
      </w:pPr>
      <w:rPr>
        <w:rFonts w:hint="default"/>
        <w:caps w:val="0"/>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6"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7"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17240DB"/>
    <w:multiLevelType w:val="hybridMultilevel"/>
    <w:tmpl w:val="C69CDBCC"/>
    <w:lvl w:ilvl="0" w:tplc="3536C03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5908619D"/>
    <w:multiLevelType w:val="hybridMultilevel"/>
    <w:tmpl w:val="C7660AA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15:restartNumberingAfterBreak="0">
    <w:nsid w:val="64030289"/>
    <w:multiLevelType w:val="hybridMultilevel"/>
    <w:tmpl w:val="036EF13C"/>
    <w:lvl w:ilvl="0" w:tplc="3536C03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3" w15:restartNumberingAfterBreak="0">
    <w:nsid w:val="68CA6B98"/>
    <w:multiLevelType w:val="hybridMultilevel"/>
    <w:tmpl w:val="F080E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680EC7"/>
    <w:multiLevelType w:val="hybridMultilevel"/>
    <w:tmpl w:val="45A64EA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5" w15:restartNumberingAfterBreak="0">
    <w:nsid w:val="69F36985"/>
    <w:multiLevelType w:val="hybridMultilevel"/>
    <w:tmpl w:val="AFA26BC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6"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03D3167"/>
    <w:multiLevelType w:val="hybridMultilevel"/>
    <w:tmpl w:val="FEE4161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8"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9"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0"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1" w15:restartNumberingAfterBreak="0">
    <w:nsid w:val="77997B7F"/>
    <w:multiLevelType w:val="hybridMultilevel"/>
    <w:tmpl w:val="F822BE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2"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4"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5"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32"/>
  </w:num>
  <w:num w:numId="3">
    <w:abstractNumId w:val="17"/>
  </w:num>
  <w:num w:numId="4">
    <w:abstractNumId w:val="26"/>
  </w:num>
  <w:num w:numId="5">
    <w:abstractNumId w:val="3"/>
  </w:num>
  <w:num w:numId="6">
    <w:abstractNumId w:val="35"/>
  </w:num>
  <w:num w:numId="7">
    <w:abstractNumId w:val="30"/>
  </w:num>
  <w:num w:numId="8">
    <w:abstractNumId w:val="19"/>
  </w:num>
  <w:num w:numId="9">
    <w:abstractNumId w:val="28"/>
  </w:num>
  <w:num w:numId="10">
    <w:abstractNumId w:val="2"/>
  </w:num>
  <w:num w:numId="11">
    <w:abstractNumId w:val="13"/>
  </w:num>
  <w:num w:numId="12">
    <w:abstractNumId w:val="11"/>
  </w:num>
  <w:num w:numId="13">
    <w:abstractNumId w:val="7"/>
  </w:num>
  <w:num w:numId="14">
    <w:abstractNumId w:val="16"/>
  </w:num>
  <w:num w:numId="15">
    <w:abstractNumId w:val="6"/>
  </w:num>
  <w:num w:numId="16">
    <w:abstractNumId w:val="8"/>
  </w:num>
  <w:num w:numId="17">
    <w:abstractNumId w:val="33"/>
  </w:num>
  <w:num w:numId="18">
    <w:abstractNumId w:val="0"/>
  </w:num>
  <w:num w:numId="19">
    <w:abstractNumId w:val="5"/>
  </w:num>
  <w:num w:numId="20">
    <w:abstractNumId w:val="34"/>
  </w:num>
  <w:num w:numId="21">
    <w:abstractNumId w:val="22"/>
  </w:num>
  <w:num w:numId="22">
    <w:abstractNumId w:val="29"/>
  </w:num>
  <w:num w:numId="23">
    <w:abstractNumId w:val="4"/>
  </w:num>
  <w:num w:numId="24">
    <w:abstractNumId w:val="25"/>
  </w:num>
  <w:num w:numId="25">
    <w:abstractNumId w:val="14"/>
  </w:num>
  <w:num w:numId="26">
    <w:abstractNumId w:val="20"/>
  </w:num>
  <w:num w:numId="27">
    <w:abstractNumId w:val="10"/>
  </w:num>
  <w:num w:numId="28">
    <w:abstractNumId w:val="9"/>
  </w:num>
  <w:num w:numId="29">
    <w:abstractNumId w:val="31"/>
  </w:num>
  <w:num w:numId="30">
    <w:abstractNumId w:val="24"/>
  </w:num>
  <w:num w:numId="31">
    <w:abstractNumId w:val="27"/>
  </w:num>
  <w:num w:numId="32">
    <w:abstractNumId w:val="15"/>
  </w:num>
  <w:num w:numId="33">
    <w:abstractNumId w:val="23"/>
  </w:num>
  <w:num w:numId="34">
    <w:abstractNumId w:val="12"/>
  </w:num>
  <w:num w:numId="35">
    <w:abstractNumId w:val="1"/>
  </w:num>
  <w:num w:numId="36">
    <w:abstractNumId w:val="2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65396"/>
    <w:rsid w:val="0010660F"/>
    <w:rsid w:val="0011084B"/>
    <w:rsid w:val="0012702B"/>
    <w:rsid w:val="00127EC5"/>
    <w:rsid w:val="0013504C"/>
    <w:rsid w:val="00136D64"/>
    <w:rsid w:val="00143E48"/>
    <w:rsid w:val="00160F7B"/>
    <w:rsid w:val="001A3103"/>
    <w:rsid w:val="001B342A"/>
    <w:rsid w:val="001D6629"/>
    <w:rsid w:val="001E0307"/>
    <w:rsid w:val="001E07A9"/>
    <w:rsid w:val="001F7DC0"/>
    <w:rsid w:val="00203769"/>
    <w:rsid w:val="00206A06"/>
    <w:rsid w:val="002309BC"/>
    <w:rsid w:val="00233283"/>
    <w:rsid w:val="002512C8"/>
    <w:rsid w:val="00257B31"/>
    <w:rsid w:val="00265932"/>
    <w:rsid w:val="00282A45"/>
    <w:rsid w:val="002C402E"/>
    <w:rsid w:val="002D3E4F"/>
    <w:rsid w:val="002E41D6"/>
    <w:rsid w:val="002F25C4"/>
    <w:rsid w:val="002F279D"/>
    <w:rsid w:val="00322A56"/>
    <w:rsid w:val="00351476"/>
    <w:rsid w:val="003A2A9E"/>
    <w:rsid w:val="003A52B6"/>
    <w:rsid w:val="003A562A"/>
    <w:rsid w:val="003D0AA8"/>
    <w:rsid w:val="003E60B3"/>
    <w:rsid w:val="003E7065"/>
    <w:rsid w:val="0041187A"/>
    <w:rsid w:val="00455168"/>
    <w:rsid w:val="00456E1B"/>
    <w:rsid w:val="004734E5"/>
    <w:rsid w:val="00485CAB"/>
    <w:rsid w:val="004B48A6"/>
    <w:rsid w:val="004C0D09"/>
    <w:rsid w:val="004E3D2B"/>
    <w:rsid w:val="00502FF1"/>
    <w:rsid w:val="00514C20"/>
    <w:rsid w:val="005263E1"/>
    <w:rsid w:val="005358BD"/>
    <w:rsid w:val="00544FA1"/>
    <w:rsid w:val="00545E76"/>
    <w:rsid w:val="00555464"/>
    <w:rsid w:val="00564338"/>
    <w:rsid w:val="005A1C08"/>
    <w:rsid w:val="005C1B0D"/>
    <w:rsid w:val="005D4878"/>
    <w:rsid w:val="005E78ED"/>
    <w:rsid w:val="00617FCF"/>
    <w:rsid w:val="00640B3E"/>
    <w:rsid w:val="0065010C"/>
    <w:rsid w:val="00660035"/>
    <w:rsid w:val="00675E16"/>
    <w:rsid w:val="006864A4"/>
    <w:rsid w:val="006A3623"/>
    <w:rsid w:val="006C0CE9"/>
    <w:rsid w:val="006C610D"/>
    <w:rsid w:val="00703849"/>
    <w:rsid w:val="007105FB"/>
    <w:rsid w:val="0075757D"/>
    <w:rsid w:val="00766C56"/>
    <w:rsid w:val="00795BF9"/>
    <w:rsid w:val="007A146A"/>
    <w:rsid w:val="007C3744"/>
    <w:rsid w:val="007D41BE"/>
    <w:rsid w:val="007D6F82"/>
    <w:rsid w:val="007E45AD"/>
    <w:rsid w:val="007F7B93"/>
    <w:rsid w:val="00802548"/>
    <w:rsid w:val="00835BE3"/>
    <w:rsid w:val="00842F9A"/>
    <w:rsid w:val="008600A0"/>
    <w:rsid w:val="00891FFE"/>
    <w:rsid w:val="008A460A"/>
    <w:rsid w:val="008C08CE"/>
    <w:rsid w:val="008F7CB8"/>
    <w:rsid w:val="009300E4"/>
    <w:rsid w:val="00954310"/>
    <w:rsid w:val="0095780D"/>
    <w:rsid w:val="00966A47"/>
    <w:rsid w:val="00976DA3"/>
    <w:rsid w:val="009945A2"/>
    <w:rsid w:val="00996064"/>
    <w:rsid w:val="009A17DB"/>
    <w:rsid w:val="009A4725"/>
    <w:rsid w:val="009D02D8"/>
    <w:rsid w:val="009F7240"/>
    <w:rsid w:val="00A270D3"/>
    <w:rsid w:val="00A33CC2"/>
    <w:rsid w:val="00A66481"/>
    <w:rsid w:val="00A97F03"/>
    <w:rsid w:val="00AA1C26"/>
    <w:rsid w:val="00AB1563"/>
    <w:rsid w:val="00AC3632"/>
    <w:rsid w:val="00AC6618"/>
    <w:rsid w:val="00AD1EC8"/>
    <w:rsid w:val="00B17FE3"/>
    <w:rsid w:val="00B44EBE"/>
    <w:rsid w:val="00B620FF"/>
    <w:rsid w:val="00B67367"/>
    <w:rsid w:val="00B81903"/>
    <w:rsid w:val="00B877CC"/>
    <w:rsid w:val="00BB0665"/>
    <w:rsid w:val="00BC18EA"/>
    <w:rsid w:val="00C27369"/>
    <w:rsid w:val="00C35521"/>
    <w:rsid w:val="00C3734E"/>
    <w:rsid w:val="00CA34FD"/>
    <w:rsid w:val="00CC74E4"/>
    <w:rsid w:val="00D055B7"/>
    <w:rsid w:val="00D14F21"/>
    <w:rsid w:val="00D158B9"/>
    <w:rsid w:val="00D20CC3"/>
    <w:rsid w:val="00D76027"/>
    <w:rsid w:val="00D86932"/>
    <w:rsid w:val="00D912E0"/>
    <w:rsid w:val="00DA110F"/>
    <w:rsid w:val="00DA1450"/>
    <w:rsid w:val="00DA5765"/>
    <w:rsid w:val="00DD46F9"/>
    <w:rsid w:val="00DE5C6C"/>
    <w:rsid w:val="00DF0288"/>
    <w:rsid w:val="00E220FC"/>
    <w:rsid w:val="00E36B0B"/>
    <w:rsid w:val="00E5520B"/>
    <w:rsid w:val="00E730AE"/>
    <w:rsid w:val="00E953F3"/>
    <w:rsid w:val="00EA2DE0"/>
    <w:rsid w:val="00EB202F"/>
    <w:rsid w:val="00F00416"/>
    <w:rsid w:val="00F02051"/>
    <w:rsid w:val="00F40C36"/>
    <w:rsid w:val="00F559DB"/>
    <w:rsid w:val="00F62998"/>
    <w:rsid w:val="00F67074"/>
    <w:rsid w:val="00F80693"/>
    <w:rsid w:val="00F82B77"/>
    <w:rsid w:val="00FB5043"/>
    <w:rsid w:val="00FB5F5A"/>
    <w:rsid w:val="00FD1343"/>
    <w:rsid w:val="00FE1DF6"/>
    <w:rsid w:val="00FE6EC8"/>
    <w:rsid w:val="00FF4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2">
    <w:name w:val="heading 2"/>
    <w:aliases w:val="TITULO 2 Ingedisa,Nivel 2,Título 2 - PAT,Edgar 2,Título 2 -BCN,título 2,2 headline,h,morcheba,TITULO 2,Heading 2 BORRAR2,MT2,N_2,Fotografía,heading 2"/>
    <w:basedOn w:val="Normal"/>
    <w:next w:val="Normal"/>
    <w:link w:val="Ttulo2Car"/>
    <w:unhideWhenUsed/>
    <w:qFormat/>
    <w:rsid w:val="00A270D3"/>
    <w:pPr>
      <w:keepNext/>
      <w:keepLines/>
      <w:spacing w:before="40" w:after="0" w:line="240" w:lineRule="auto"/>
      <w:ind w:left="851" w:hanging="851"/>
      <w:jc w:val="both"/>
      <w:outlineLvl w:val="1"/>
    </w:pPr>
    <w:rPr>
      <w:rFonts w:eastAsiaTheme="majorEastAsia" w:cstheme="majorBidi"/>
      <w:b/>
      <w:szCs w:val="26"/>
    </w:rPr>
  </w:style>
  <w:style w:type="paragraph" w:styleId="Ttulo3">
    <w:name w:val="heading 3"/>
    <w:aliases w:val="Edgar 3,Edgar 31,Edgar 32,Edgar 33,Edgar 34,Edgar 35,Edgar 311,Edgar 321,Edgar 331,Edgar 341,Edgar 36,Edgar 312,Edgar 322,Edgar 332,Edgar 342,Edgar 37,Edgar 313,Edgar 323,Edgar 333,Edgar 343,Edgar 38,Edgar 314,Edgar 324,Edgar 334,Edgar 344"/>
    <w:basedOn w:val="Normal"/>
    <w:next w:val="Normal"/>
    <w:link w:val="Ttulo3Car"/>
    <w:uiPriority w:val="9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9"/>
    <w:unhideWhenUsed/>
    <w:qFormat/>
    <w:rsid w:val="00A270D3"/>
    <w:pPr>
      <w:keepNext/>
      <w:keepLines/>
      <w:spacing w:before="40" w:after="0" w:line="360" w:lineRule="auto"/>
      <w:ind w:left="851" w:hanging="851"/>
      <w:outlineLvl w:val="3"/>
    </w:pPr>
    <w:rPr>
      <w:rFonts w:eastAsiaTheme="majorEastAsia" w:cstheme="majorBidi"/>
      <w:b/>
      <w:iCs/>
      <w:color w:val="000000" w:themeColor="text1"/>
    </w:rPr>
  </w:style>
  <w:style w:type="paragraph" w:styleId="Ttulo5">
    <w:name w:val="heading 5"/>
    <w:basedOn w:val="Normal"/>
    <w:next w:val="Normal"/>
    <w:link w:val="Ttulo5Car"/>
    <w:uiPriority w:val="99"/>
    <w:unhideWhenUsed/>
    <w:qFormat/>
    <w:rsid w:val="00A270D3"/>
    <w:pPr>
      <w:keepNext/>
      <w:keepLines/>
      <w:spacing w:before="40" w:after="0" w:line="240" w:lineRule="auto"/>
      <w:ind w:left="431" w:hanging="431"/>
      <w:jc w:val="both"/>
      <w:outlineLvl w:val="4"/>
    </w:pPr>
    <w:rPr>
      <w:rFonts w:ascii="Verdana" w:eastAsiaTheme="majorEastAsia" w:hAnsi="Verdana" w:cstheme="majorBidi"/>
      <w:i/>
      <w:sz w:val="24"/>
      <w:u w:val="single"/>
    </w:rPr>
  </w:style>
  <w:style w:type="paragraph" w:styleId="Ttulo6">
    <w:name w:val="heading 6"/>
    <w:basedOn w:val="Normal"/>
    <w:link w:val="Ttulo6Car"/>
    <w:qFormat/>
    <w:rsid w:val="00A270D3"/>
    <w:pPr>
      <w:spacing w:before="100" w:beforeAutospacing="1" w:after="100" w:afterAutospacing="1" w:line="240" w:lineRule="auto"/>
      <w:ind w:left="431" w:hanging="431"/>
      <w:jc w:val="both"/>
      <w:outlineLvl w:val="5"/>
    </w:pPr>
    <w:rPr>
      <w:rFonts w:ascii="Times New Roman" w:eastAsia="Times New Roman" w:hAnsi="Times New Roman" w:cs="Times New Roman"/>
      <w:b/>
      <w:bCs/>
      <w:sz w:val="15"/>
      <w:szCs w:val="15"/>
      <w:lang w:eastAsia="es-CO"/>
    </w:rPr>
  </w:style>
  <w:style w:type="paragraph" w:styleId="Ttulo7">
    <w:name w:val="heading 7"/>
    <w:basedOn w:val="Normal"/>
    <w:next w:val="Normal"/>
    <w:link w:val="Ttulo7Car"/>
    <w:unhideWhenUsed/>
    <w:qFormat/>
    <w:rsid w:val="00A270D3"/>
    <w:pPr>
      <w:keepNext/>
      <w:keepLines/>
      <w:spacing w:before="40" w:after="0" w:line="240" w:lineRule="auto"/>
      <w:ind w:left="431" w:hanging="431"/>
      <w:jc w:val="both"/>
      <w:outlineLvl w:val="6"/>
    </w:pPr>
    <w:rPr>
      <w:rFonts w:asciiTheme="majorHAnsi" w:eastAsiaTheme="majorEastAsia" w:hAnsiTheme="majorHAnsi" w:cstheme="majorBidi"/>
      <w:i/>
      <w:iCs/>
      <w:color w:val="1F3763" w:themeColor="accent1" w:themeShade="7F"/>
      <w:sz w:val="24"/>
    </w:rPr>
  </w:style>
  <w:style w:type="paragraph" w:styleId="Ttulo8">
    <w:name w:val="heading 8"/>
    <w:basedOn w:val="Normal"/>
    <w:next w:val="Normal"/>
    <w:link w:val="Ttulo8Car"/>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A270D3"/>
    <w:pPr>
      <w:keepNext/>
      <w:keepLines/>
      <w:spacing w:before="40" w:after="0" w:line="240" w:lineRule="auto"/>
      <w:ind w:left="431" w:hanging="431"/>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aliases w:val="Edgar 3 Car,Edgar 31 Car,Edgar 32 Car,Edgar 33 Car,Edgar 34 Car,Edgar 35 Car,Edgar 311 Car,Edgar 321 Car,Edgar 331 Car,Edgar 341 Car,Edgar 36 Car,Edgar 312 Car,Edgar 322 Car,Edgar 332 Car,Edgar 342 Car,Edgar 37 Car,Edgar 31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 w:type="character" w:customStyle="1" w:styleId="Ttulo2Car">
    <w:name w:val="Título 2 Car"/>
    <w:aliases w:val="TITULO 2 Ingedisa Car,Nivel 2 Car,Título 2 - PAT Car,Edgar 2 Car,Título 2 -BCN Car,título 2 Car,2 headline Car,h Car,morcheba Car,TITULO 2 Car,Heading 2 BORRAR2 Car,MT2 Car,N_2 Car,Fotografía Car,heading 2 Car"/>
    <w:basedOn w:val="Fuentedeprrafopredeter"/>
    <w:link w:val="Ttulo2"/>
    <w:rsid w:val="00A270D3"/>
    <w:rPr>
      <w:rFonts w:ascii="Arial" w:eastAsiaTheme="majorEastAsia" w:hAnsi="Arial" w:cstheme="majorBidi"/>
      <w:b/>
      <w:szCs w:val="26"/>
    </w:rPr>
  </w:style>
  <w:style w:type="character" w:customStyle="1" w:styleId="Ttulo4Car">
    <w:name w:val="Título 4 Car"/>
    <w:basedOn w:val="Fuentedeprrafopredeter"/>
    <w:link w:val="Ttulo4"/>
    <w:uiPriority w:val="99"/>
    <w:rsid w:val="00A270D3"/>
    <w:rPr>
      <w:rFonts w:ascii="Arial" w:eastAsiaTheme="majorEastAsia" w:hAnsi="Arial" w:cstheme="majorBidi"/>
      <w:b/>
      <w:iCs/>
      <w:color w:val="000000" w:themeColor="text1"/>
    </w:rPr>
  </w:style>
  <w:style w:type="character" w:customStyle="1" w:styleId="Ttulo5Car">
    <w:name w:val="Título 5 Car"/>
    <w:basedOn w:val="Fuentedeprrafopredeter"/>
    <w:link w:val="Ttulo5"/>
    <w:uiPriority w:val="99"/>
    <w:rsid w:val="00A270D3"/>
    <w:rPr>
      <w:rFonts w:ascii="Verdana" w:eastAsiaTheme="majorEastAsia" w:hAnsi="Verdana" w:cstheme="majorBidi"/>
      <w:i/>
      <w:sz w:val="24"/>
      <w:u w:val="single"/>
    </w:rPr>
  </w:style>
  <w:style w:type="character" w:customStyle="1" w:styleId="Ttulo6Car">
    <w:name w:val="Título 6 Car"/>
    <w:basedOn w:val="Fuentedeprrafopredeter"/>
    <w:link w:val="Ttulo6"/>
    <w:rsid w:val="00A270D3"/>
    <w:rPr>
      <w:rFonts w:ascii="Times New Roman" w:eastAsia="Times New Roman" w:hAnsi="Times New Roman" w:cs="Times New Roman"/>
      <w:b/>
      <w:bCs/>
      <w:sz w:val="15"/>
      <w:szCs w:val="15"/>
      <w:lang w:eastAsia="es-CO"/>
    </w:rPr>
  </w:style>
  <w:style w:type="character" w:customStyle="1" w:styleId="Ttulo7Car">
    <w:name w:val="Título 7 Car"/>
    <w:basedOn w:val="Fuentedeprrafopredeter"/>
    <w:link w:val="Ttulo7"/>
    <w:rsid w:val="00A270D3"/>
    <w:rPr>
      <w:rFonts w:asciiTheme="majorHAnsi" w:eastAsiaTheme="majorEastAsia" w:hAnsiTheme="majorHAnsi" w:cstheme="majorBidi"/>
      <w:i/>
      <w:iCs/>
      <w:color w:val="1F3763" w:themeColor="accent1" w:themeShade="7F"/>
      <w:sz w:val="24"/>
    </w:rPr>
  </w:style>
  <w:style w:type="character" w:customStyle="1" w:styleId="Ttulo9Car">
    <w:name w:val="Título 9 Car"/>
    <w:basedOn w:val="Fuentedeprrafopredeter"/>
    <w:link w:val="Ttulo9"/>
    <w:rsid w:val="00A270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515</Words>
  <Characters>2834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David Rodriguez</cp:lastModifiedBy>
  <cp:revision>3</cp:revision>
  <cp:lastPrinted>2022-04-28T18:43:00Z</cp:lastPrinted>
  <dcterms:created xsi:type="dcterms:W3CDTF">2022-04-28T15:38:00Z</dcterms:created>
  <dcterms:modified xsi:type="dcterms:W3CDTF">2022-04-28T19:06:00Z</dcterms:modified>
</cp:coreProperties>
</file>