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63584"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179BC80E"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4E5683C6"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680A0FBB"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650A59BD"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74DA65D6"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7981CB09"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035701B3"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1E42BDF9" w14:textId="0170D77C" w:rsidR="001F4D21" w:rsidRPr="001F4D21" w:rsidRDefault="001F4D21" w:rsidP="00AB4D08">
      <w:pPr>
        <w:spacing w:after="0" w:line="240" w:lineRule="auto"/>
        <w:contextualSpacing/>
        <w:jc w:val="center"/>
        <w:rPr>
          <w:rStyle w:val="Textoennegrita"/>
          <w:rFonts w:ascii="Times New Roman" w:hAnsi="Times New Roman"/>
          <w:color w:val="000000"/>
          <w:sz w:val="24"/>
          <w:szCs w:val="24"/>
        </w:rPr>
      </w:pPr>
      <w:r w:rsidRPr="001F4D21">
        <w:rPr>
          <w:rStyle w:val="Textoennegrita"/>
          <w:rFonts w:ascii="Times New Roman" w:hAnsi="Times New Roman"/>
          <w:color w:val="000000"/>
          <w:sz w:val="24"/>
          <w:szCs w:val="24"/>
        </w:rPr>
        <w:t>INSTITUTO DE DESARROLLO URBANO – IDU</w:t>
      </w:r>
    </w:p>
    <w:p w14:paraId="20389635"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61076E9C"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752B4A36"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18CAE25F"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3BE8D305"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6DF439FC"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4D616A36"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2D348896"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5368BCB4"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741C39E7"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79E63E10"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10E7E26D"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2AE637C1"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2D8FDA7A"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02BD45C7"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5CF5BDE1"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4004A300"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0CEE04AB"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5A82479D" w14:textId="77777777" w:rsidR="001F4D21" w:rsidRDefault="001F4D21" w:rsidP="00AB4D08">
      <w:pPr>
        <w:spacing w:after="0" w:line="240" w:lineRule="auto"/>
        <w:contextualSpacing/>
        <w:rPr>
          <w:rStyle w:val="Textoennegrita"/>
          <w:rFonts w:ascii="Times New Roman" w:hAnsi="Times New Roman"/>
          <w:color w:val="000000"/>
          <w:sz w:val="24"/>
          <w:szCs w:val="24"/>
        </w:rPr>
      </w:pPr>
    </w:p>
    <w:p w14:paraId="53023AEF"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3A5B0797"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513F04B8" w14:textId="77777777" w:rsidR="001F4D21" w:rsidRPr="001F4D21" w:rsidRDefault="001F4D21" w:rsidP="00AB4D08">
      <w:pPr>
        <w:spacing w:after="0" w:line="240" w:lineRule="auto"/>
        <w:contextualSpacing/>
        <w:rPr>
          <w:rStyle w:val="Textoennegrita"/>
          <w:rFonts w:ascii="Times New Roman" w:hAnsi="Times New Roman"/>
          <w:color w:val="000000"/>
          <w:sz w:val="24"/>
          <w:szCs w:val="24"/>
        </w:rPr>
      </w:pPr>
    </w:p>
    <w:p w14:paraId="7FA5DDFF" w14:textId="2C562D4E" w:rsidR="001F4D21" w:rsidRPr="001F4D21" w:rsidRDefault="001F4D21" w:rsidP="00AB4D08">
      <w:pPr>
        <w:spacing w:after="0" w:line="240" w:lineRule="auto"/>
        <w:contextualSpacing/>
        <w:jc w:val="center"/>
        <w:rPr>
          <w:rFonts w:ascii="Times New Roman" w:eastAsia="Arial" w:hAnsi="Times New Roman"/>
          <w:b/>
          <w:sz w:val="24"/>
          <w:szCs w:val="24"/>
        </w:rPr>
      </w:pPr>
      <w:r>
        <w:rPr>
          <w:rFonts w:ascii="Times New Roman" w:eastAsia="Arial" w:hAnsi="Times New Roman"/>
          <w:b/>
          <w:sz w:val="24"/>
          <w:szCs w:val="24"/>
        </w:rPr>
        <w:t>NOTAS</w:t>
      </w:r>
      <w:r w:rsidRPr="001F4D21">
        <w:rPr>
          <w:rFonts w:ascii="Times New Roman" w:eastAsia="Arial" w:hAnsi="Times New Roman"/>
          <w:b/>
          <w:sz w:val="24"/>
          <w:szCs w:val="24"/>
        </w:rPr>
        <w:t xml:space="preserve"> A LOS ESTADOS FINANCIEROS</w:t>
      </w:r>
    </w:p>
    <w:p w14:paraId="19426A6A" w14:textId="77777777" w:rsidR="001F4D21" w:rsidRPr="001F4D21" w:rsidRDefault="001F4D21" w:rsidP="00AB4D08">
      <w:pPr>
        <w:spacing w:after="0" w:line="240" w:lineRule="auto"/>
        <w:contextualSpacing/>
        <w:jc w:val="center"/>
        <w:rPr>
          <w:rFonts w:ascii="Times New Roman" w:eastAsia="Arial" w:hAnsi="Times New Roman"/>
          <w:b/>
          <w:sz w:val="24"/>
          <w:szCs w:val="24"/>
        </w:rPr>
      </w:pPr>
    </w:p>
    <w:p w14:paraId="23F928C5" w14:textId="08910F4D" w:rsidR="001F4D21" w:rsidRPr="001F4D21" w:rsidRDefault="001F4D21" w:rsidP="00AB4D08">
      <w:pPr>
        <w:spacing w:after="0" w:line="240" w:lineRule="auto"/>
        <w:contextualSpacing/>
        <w:jc w:val="center"/>
        <w:rPr>
          <w:rFonts w:ascii="Times New Roman" w:eastAsia="Arial" w:hAnsi="Times New Roman"/>
          <w:b/>
          <w:sz w:val="24"/>
          <w:szCs w:val="24"/>
        </w:rPr>
      </w:pPr>
      <w:r w:rsidRPr="001F4D21">
        <w:rPr>
          <w:rFonts w:ascii="Times New Roman" w:eastAsia="Arial" w:hAnsi="Times New Roman"/>
          <w:b/>
          <w:sz w:val="24"/>
          <w:szCs w:val="24"/>
        </w:rPr>
        <w:t xml:space="preserve">A </w:t>
      </w:r>
      <w:r>
        <w:rPr>
          <w:rFonts w:ascii="Times New Roman" w:eastAsia="Arial" w:hAnsi="Times New Roman"/>
          <w:b/>
          <w:sz w:val="24"/>
          <w:szCs w:val="24"/>
        </w:rPr>
        <w:t>31 DE DICIEMBRE DE 2019</w:t>
      </w:r>
    </w:p>
    <w:p w14:paraId="289DD340" w14:textId="77777777" w:rsidR="001F4D21" w:rsidRPr="001F4D21" w:rsidRDefault="001F4D21" w:rsidP="00AB4D08">
      <w:pPr>
        <w:spacing w:after="0" w:line="240" w:lineRule="auto"/>
        <w:contextualSpacing/>
        <w:jc w:val="center"/>
        <w:rPr>
          <w:rFonts w:ascii="Times New Roman" w:eastAsia="Arial" w:hAnsi="Times New Roman"/>
          <w:b/>
          <w:sz w:val="24"/>
          <w:szCs w:val="24"/>
        </w:rPr>
      </w:pPr>
    </w:p>
    <w:p w14:paraId="49BE153E" w14:textId="77777777" w:rsidR="001F4D21" w:rsidRPr="001F4D21" w:rsidRDefault="001F4D21" w:rsidP="00AB4D08">
      <w:pPr>
        <w:spacing w:after="0" w:line="240" w:lineRule="auto"/>
        <w:contextualSpacing/>
        <w:jc w:val="center"/>
        <w:rPr>
          <w:rFonts w:ascii="Times New Roman" w:eastAsia="Arial" w:hAnsi="Times New Roman"/>
          <w:b/>
          <w:sz w:val="24"/>
          <w:szCs w:val="24"/>
        </w:rPr>
      </w:pPr>
      <w:r w:rsidRPr="001F4D21">
        <w:rPr>
          <w:rFonts w:ascii="Times New Roman" w:eastAsia="Arial" w:hAnsi="Times New Roman"/>
          <w:b/>
          <w:sz w:val="24"/>
          <w:szCs w:val="24"/>
        </w:rPr>
        <w:t>(Cifras expresadas en pesos)</w:t>
      </w:r>
    </w:p>
    <w:p w14:paraId="79A4F104" w14:textId="77777777" w:rsidR="001F4D21" w:rsidRPr="001F4D21" w:rsidRDefault="001F4D21" w:rsidP="00AB4D08">
      <w:pPr>
        <w:spacing w:after="0" w:line="240" w:lineRule="auto"/>
        <w:contextualSpacing/>
        <w:rPr>
          <w:rFonts w:ascii="Times New Roman" w:hAnsi="Times New Roman"/>
          <w:sz w:val="24"/>
          <w:szCs w:val="24"/>
          <w:lang w:val="es-ES"/>
        </w:rPr>
      </w:pPr>
    </w:p>
    <w:p w14:paraId="017ECEBB" w14:textId="77777777" w:rsidR="001F4D21" w:rsidRPr="001F4D21" w:rsidRDefault="001F4D21" w:rsidP="00AB4D08">
      <w:pPr>
        <w:spacing w:after="0" w:line="240" w:lineRule="auto"/>
        <w:contextualSpacing/>
        <w:rPr>
          <w:rFonts w:ascii="Times New Roman" w:hAnsi="Times New Roman"/>
          <w:sz w:val="24"/>
          <w:szCs w:val="24"/>
          <w:lang w:val="es-ES"/>
        </w:rPr>
      </w:pPr>
    </w:p>
    <w:p w14:paraId="78CD842B" w14:textId="77777777" w:rsidR="001F4D21" w:rsidRPr="001F4D21" w:rsidRDefault="001F4D21" w:rsidP="00AB4D08">
      <w:pPr>
        <w:spacing w:after="0" w:line="240" w:lineRule="auto"/>
        <w:contextualSpacing/>
        <w:rPr>
          <w:rFonts w:ascii="Times New Roman" w:hAnsi="Times New Roman"/>
          <w:sz w:val="24"/>
          <w:szCs w:val="24"/>
          <w:lang w:val="es-ES"/>
        </w:rPr>
      </w:pPr>
    </w:p>
    <w:p w14:paraId="7F545436" w14:textId="77777777" w:rsidR="001F4D21" w:rsidRPr="001F4D21" w:rsidRDefault="001F4D21" w:rsidP="00AB4D08">
      <w:pPr>
        <w:spacing w:after="0" w:line="240" w:lineRule="auto"/>
        <w:contextualSpacing/>
        <w:rPr>
          <w:rFonts w:ascii="Times New Roman" w:hAnsi="Times New Roman"/>
          <w:sz w:val="24"/>
          <w:szCs w:val="24"/>
          <w:lang w:val="es-ES"/>
        </w:rPr>
      </w:pPr>
    </w:p>
    <w:p w14:paraId="612FAB41" w14:textId="77777777" w:rsidR="001F4D21" w:rsidRPr="001F4D21" w:rsidRDefault="001F4D21" w:rsidP="00AB4D08">
      <w:pPr>
        <w:spacing w:after="0" w:line="240" w:lineRule="auto"/>
        <w:contextualSpacing/>
        <w:rPr>
          <w:rFonts w:ascii="Times New Roman" w:hAnsi="Times New Roman"/>
          <w:sz w:val="24"/>
          <w:szCs w:val="24"/>
          <w:lang w:val="es-ES"/>
        </w:rPr>
      </w:pPr>
    </w:p>
    <w:p w14:paraId="7CC9BE64" w14:textId="77777777" w:rsidR="001F4D21" w:rsidRPr="001F4D21" w:rsidRDefault="001F4D21" w:rsidP="00AB4D08">
      <w:pPr>
        <w:spacing w:after="0" w:line="240" w:lineRule="auto"/>
        <w:contextualSpacing/>
        <w:rPr>
          <w:rFonts w:ascii="Times New Roman" w:hAnsi="Times New Roman"/>
          <w:sz w:val="24"/>
          <w:szCs w:val="24"/>
          <w:lang w:val="es-ES"/>
        </w:rPr>
      </w:pPr>
    </w:p>
    <w:p w14:paraId="629A041A" w14:textId="77777777" w:rsidR="001F4D21" w:rsidRPr="001F4D21" w:rsidRDefault="001F4D21" w:rsidP="00AB4D08">
      <w:pPr>
        <w:spacing w:after="0" w:line="240" w:lineRule="auto"/>
        <w:contextualSpacing/>
        <w:rPr>
          <w:rFonts w:ascii="Times New Roman" w:hAnsi="Times New Roman"/>
          <w:sz w:val="24"/>
          <w:szCs w:val="24"/>
          <w:lang w:val="es-ES"/>
        </w:rPr>
      </w:pPr>
    </w:p>
    <w:p w14:paraId="499C4A5D" w14:textId="77777777" w:rsidR="001F4D21" w:rsidRPr="001F4D21" w:rsidRDefault="001F4D21" w:rsidP="00AB4D08">
      <w:pPr>
        <w:spacing w:after="0" w:line="240" w:lineRule="auto"/>
        <w:contextualSpacing/>
        <w:rPr>
          <w:rFonts w:ascii="Times New Roman" w:hAnsi="Times New Roman"/>
          <w:sz w:val="24"/>
          <w:szCs w:val="24"/>
          <w:lang w:val="es-ES"/>
        </w:rPr>
      </w:pPr>
    </w:p>
    <w:sdt>
      <w:sdtPr>
        <w:rPr>
          <w:rFonts w:ascii="Times New Roman" w:eastAsia="Calibri" w:hAnsi="Times New Roman" w:cs="Times New Roman"/>
          <w:color w:val="auto"/>
          <w:spacing w:val="0"/>
          <w:sz w:val="24"/>
          <w:szCs w:val="24"/>
          <w:lang w:val="es-ES" w:eastAsia="en-US"/>
        </w:rPr>
        <w:id w:val="-337782563"/>
        <w:docPartObj>
          <w:docPartGallery w:val="Table of Contents"/>
          <w:docPartUnique/>
        </w:docPartObj>
      </w:sdtPr>
      <w:sdtEndPr>
        <w:rPr>
          <w:b/>
          <w:bCs/>
        </w:rPr>
      </w:sdtEndPr>
      <w:sdtContent>
        <w:p w14:paraId="22209AB9" w14:textId="56110EBE" w:rsidR="00CA0525" w:rsidRPr="001F4D21" w:rsidRDefault="00CA0525" w:rsidP="00AB4D08">
          <w:pPr>
            <w:pStyle w:val="TtulodeTDC"/>
            <w:contextualSpacing/>
            <w:rPr>
              <w:rFonts w:ascii="Times New Roman" w:hAnsi="Times New Roman" w:cs="Times New Roman"/>
              <w:b/>
              <w:sz w:val="24"/>
              <w:szCs w:val="24"/>
            </w:rPr>
          </w:pPr>
          <w:r w:rsidRPr="001F4D21">
            <w:rPr>
              <w:rFonts w:ascii="Times New Roman" w:hAnsi="Times New Roman" w:cs="Times New Roman"/>
              <w:b/>
              <w:sz w:val="24"/>
              <w:szCs w:val="24"/>
              <w:lang w:val="es-ES"/>
            </w:rPr>
            <w:t>Contenido</w:t>
          </w:r>
        </w:p>
        <w:p w14:paraId="545F1F5F" w14:textId="77777777" w:rsidR="003B6D4B" w:rsidRPr="003B6D4B" w:rsidRDefault="00CA0525">
          <w:pPr>
            <w:pStyle w:val="TDC1"/>
            <w:tabs>
              <w:tab w:val="right" w:leader="dot" w:pos="9111"/>
            </w:tabs>
            <w:rPr>
              <w:rFonts w:ascii="Times New Roman" w:eastAsiaTheme="minorEastAsia" w:hAnsi="Times New Roman"/>
              <w:noProof/>
              <w:sz w:val="24"/>
              <w:szCs w:val="24"/>
              <w:lang w:eastAsia="es-CO"/>
            </w:rPr>
          </w:pPr>
          <w:r w:rsidRPr="003B6D4B">
            <w:rPr>
              <w:rFonts w:ascii="Times New Roman" w:hAnsi="Times New Roman"/>
              <w:sz w:val="24"/>
              <w:szCs w:val="24"/>
            </w:rPr>
            <w:fldChar w:fldCharType="begin"/>
          </w:r>
          <w:r w:rsidRPr="003B6D4B">
            <w:rPr>
              <w:rFonts w:ascii="Times New Roman" w:hAnsi="Times New Roman"/>
              <w:sz w:val="24"/>
              <w:szCs w:val="24"/>
            </w:rPr>
            <w:instrText xml:space="preserve"> TOC \o "1-3" \h \z \u </w:instrText>
          </w:r>
          <w:r w:rsidRPr="003B6D4B">
            <w:rPr>
              <w:rFonts w:ascii="Times New Roman" w:hAnsi="Times New Roman"/>
              <w:sz w:val="24"/>
              <w:szCs w:val="24"/>
            </w:rPr>
            <w:fldChar w:fldCharType="separate"/>
          </w:r>
          <w:hyperlink w:anchor="_Toc32317223" w:history="1">
            <w:r w:rsidR="003B6D4B" w:rsidRPr="003B6D4B">
              <w:rPr>
                <w:rStyle w:val="Hipervnculo"/>
                <w:rFonts w:ascii="Times New Roman" w:hAnsi="Times New Roman"/>
                <w:noProof/>
                <w:sz w:val="24"/>
                <w:szCs w:val="24"/>
              </w:rPr>
              <w:t>NOTA 1. ENTIDAD REPORTANTE</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w:t>
            </w:r>
            <w:r w:rsidR="003B6D4B" w:rsidRPr="003B6D4B">
              <w:rPr>
                <w:rFonts w:ascii="Times New Roman" w:hAnsi="Times New Roman"/>
                <w:noProof/>
                <w:webHidden/>
                <w:sz w:val="24"/>
                <w:szCs w:val="24"/>
              </w:rPr>
              <w:fldChar w:fldCharType="end"/>
            </w:r>
          </w:hyperlink>
        </w:p>
        <w:p w14:paraId="60435E4B"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24" w:history="1">
            <w:r w:rsidR="003B6D4B" w:rsidRPr="003B6D4B">
              <w:rPr>
                <w:rStyle w:val="Hipervnculo"/>
                <w:rFonts w:ascii="Times New Roman" w:hAnsi="Times New Roman"/>
                <w:noProof/>
                <w:sz w:val="24"/>
                <w:szCs w:val="24"/>
              </w:rPr>
              <w:t>1.1.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Identificación y funciones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w:t>
            </w:r>
            <w:r w:rsidR="003B6D4B" w:rsidRPr="003B6D4B">
              <w:rPr>
                <w:rFonts w:ascii="Times New Roman" w:hAnsi="Times New Roman"/>
                <w:noProof/>
                <w:webHidden/>
                <w:sz w:val="24"/>
                <w:szCs w:val="24"/>
              </w:rPr>
              <w:fldChar w:fldCharType="end"/>
            </w:r>
          </w:hyperlink>
        </w:p>
        <w:p w14:paraId="13855AD6"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25" w:history="1">
            <w:r w:rsidR="003B6D4B" w:rsidRPr="003B6D4B">
              <w:rPr>
                <w:rStyle w:val="Hipervnculo"/>
                <w:rFonts w:ascii="Times New Roman" w:hAnsi="Times New Roman"/>
                <w:noProof/>
                <w:sz w:val="24"/>
                <w:szCs w:val="24"/>
              </w:rPr>
              <w:t>1.2.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Declaración de cumplimiento del marco normativo y limitaciones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w:t>
            </w:r>
            <w:r w:rsidR="003B6D4B" w:rsidRPr="003B6D4B">
              <w:rPr>
                <w:rFonts w:ascii="Times New Roman" w:hAnsi="Times New Roman"/>
                <w:noProof/>
                <w:webHidden/>
                <w:sz w:val="24"/>
                <w:szCs w:val="24"/>
              </w:rPr>
              <w:fldChar w:fldCharType="end"/>
            </w:r>
          </w:hyperlink>
        </w:p>
        <w:p w14:paraId="7DFA7351"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26" w:history="1">
            <w:r w:rsidR="003B6D4B" w:rsidRPr="003B6D4B">
              <w:rPr>
                <w:rStyle w:val="Hipervnculo"/>
                <w:rFonts w:ascii="Times New Roman" w:hAnsi="Times New Roman"/>
                <w:noProof/>
                <w:sz w:val="24"/>
                <w:szCs w:val="24"/>
              </w:rPr>
              <w:t>1.3.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Base normativa y periodo cubierto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w:t>
            </w:r>
            <w:r w:rsidR="003B6D4B" w:rsidRPr="003B6D4B">
              <w:rPr>
                <w:rFonts w:ascii="Times New Roman" w:hAnsi="Times New Roman"/>
                <w:noProof/>
                <w:webHidden/>
                <w:sz w:val="24"/>
                <w:szCs w:val="24"/>
              </w:rPr>
              <w:fldChar w:fldCharType="end"/>
            </w:r>
          </w:hyperlink>
        </w:p>
        <w:p w14:paraId="0C26F7BE"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27" w:history="1">
            <w:r w:rsidR="003B6D4B" w:rsidRPr="003B6D4B">
              <w:rPr>
                <w:rStyle w:val="Hipervnculo"/>
                <w:rFonts w:ascii="Times New Roman" w:hAnsi="Times New Roman"/>
                <w:noProof/>
                <w:sz w:val="24"/>
                <w:szCs w:val="24"/>
              </w:rPr>
              <w:t>1.4.</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Forma de Organización y/o Cobertura</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4DFAFDAD"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28" w:history="1">
            <w:r w:rsidR="003B6D4B" w:rsidRPr="003B6D4B">
              <w:rPr>
                <w:rStyle w:val="Hipervnculo"/>
                <w:rFonts w:ascii="Times New Roman" w:hAnsi="Times New Roman"/>
                <w:noProof/>
                <w:sz w:val="24"/>
                <w:szCs w:val="24"/>
              </w:rPr>
              <w:t>NOTA 2. BASES DE MEDICIÓN Y PRESENTACIÓN UTILIZADAS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30E2C4E5"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29" w:history="1">
            <w:r w:rsidR="003B6D4B" w:rsidRPr="003B6D4B">
              <w:rPr>
                <w:rStyle w:val="Hipervnculo"/>
                <w:rFonts w:ascii="Times New Roman" w:hAnsi="Times New Roman"/>
                <w:noProof/>
                <w:sz w:val="24"/>
                <w:szCs w:val="24"/>
              </w:rPr>
              <w:t>2.1.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Bases de medición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_Toc32317229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06A84004"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0" w:history="1">
            <w:r w:rsidR="003B6D4B" w:rsidRPr="003B6D4B">
              <w:rPr>
                <w:rStyle w:val="Hipervnculo"/>
                <w:rFonts w:ascii="Times New Roman" w:hAnsi="Times New Roman"/>
                <w:noProof/>
                <w:sz w:val="24"/>
                <w:szCs w:val="24"/>
              </w:rPr>
              <w:t>2.2.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Moneda funcional y de presentación, redondeo y materialidad</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7FAC7D1E"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1" w:history="1">
            <w:r w:rsidR="003B6D4B" w:rsidRPr="003B6D4B">
              <w:rPr>
                <w:rStyle w:val="Hipervnculo"/>
                <w:rFonts w:ascii="Times New Roman" w:hAnsi="Times New Roman"/>
                <w:noProof/>
                <w:sz w:val="24"/>
                <w:szCs w:val="24"/>
              </w:rPr>
              <w:t>2.3.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Tratamiento de la moneda extranjera</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1748D36C"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2" w:history="1">
            <w:r w:rsidR="003B6D4B" w:rsidRPr="003B6D4B">
              <w:rPr>
                <w:rStyle w:val="Hipervnculo"/>
                <w:rFonts w:ascii="Times New Roman" w:hAnsi="Times New Roman"/>
                <w:noProof/>
                <w:sz w:val="24"/>
                <w:szCs w:val="24"/>
              </w:rPr>
              <w:t>2.4.</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Hechos ocurridos después del periodo contable</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5FE3A2E2"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3" w:history="1">
            <w:r w:rsidR="003B6D4B" w:rsidRPr="003B6D4B">
              <w:rPr>
                <w:rStyle w:val="Hipervnculo"/>
                <w:rFonts w:ascii="Times New Roman" w:hAnsi="Times New Roman"/>
                <w:noProof/>
                <w:sz w:val="24"/>
                <w:szCs w:val="24"/>
              </w:rPr>
              <w:t>2.5.</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Otros aspectos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w:t>
            </w:r>
            <w:r w:rsidR="003B6D4B" w:rsidRPr="003B6D4B">
              <w:rPr>
                <w:rFonts w:ascii="Times New Roman" w:hAnsi="Times New Roman"/>
                <w:noProof/>
                <w:webHidden/>
                <w:sz w:val="24"/>
                <w:szCs w:val="24"/>
              </w:rPr>
              <w:fldChar w:fldCharType="end"/>
            </w:r>
          </w:hyperlink>
        </w:p>
        <w:p w14:paraId="3AECB156"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34" w:history="1">
            <w:r w:rsidR="003B6D4B" w:rsidRPr="003B6D4B">
              <w:rPr>
                <w:rStyle w:val="Hipervnculo"/>
                <w:rFonts w:ascii="Times New Roman" w:hAnsi="Times New Roman"/>
                <w:noProof/>
                <w:sz w:val="24"/>
                <w:szCs w:val="24"/>
              </w:rPr>
              <w:t>NOTA 3. JUICIOS, ESTIMACIONES, RIESGOS Y CORRECCIÓN DE ERRORES CONTABLES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255C0609"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5" w:history="1">
            <w:r w:rsidR="003B6D4B" w:rsidRPr="003B6D4B">
              <w:rPr>
                <w:rStyle w:val="Hipervnculo"/>
                <w:rFonts w:ascii="Times New Roman" w:hAnsi="Times New Roman"/>
                <w:noProof/>
                <w:sz w:val="24"/>
                <w:szCs w:val="24"/>
              </w:rPr>
              <w:t>3.1.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Juicios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56606049"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6" w:history="1">
            <w:r w:rsidR="003B6D4B" w:rsidRPr="003B6D4B">
              <w:rPr>
                <w:rStyle w:val="Hipervnculo"/>
                <w:rFonts w:ascii="Times New Roman" w:hAnsi="Times New Roman"/>
                <w:noProof/>
                <w:sz w:val="24"/>
                <w:szCs w:val="24"/>
              </w:rPr>
              <w:t>3.2.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Estimaciones y supuestos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4A5AA244"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7" w:history="1">
            <w:r w:rsidR="003B6D4B" w:rsidRPr="003B6D4B">
              <w:rPr>
                <w:rStyle w:val="Hipervnculo"/>
                <w:rFonts w:ascii="Times New Roman" w:hAnsi="Times New Roman"/>
                <w:noProof/>
                <w:sz w:val="24"/>
                <w:szCs w:val="24"/>
              </w:rPr>
              <w:t>3.3.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Correcciones contables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120FEB10"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38" w:history="1">
            <w:r w:rsidR="003B6D4B" w:rsidRPr="003B6D4B">
              <w:rPr>
                <w:rStyle w:val="Hipervnculo"/>
                <w:rFonts w:ascii="Times New Roman" w:hAnsi="Times New Roman"/>
                <w:noProof/>
                <w:sz w:val="24"/>
                <w:szCs w:val="24"/>
              </w:rPr>
              <w:t>3.4.</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Riesgos asociados a los instrumentos financieros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07B98EEC"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39" w:history="1">
            <w:r w:rsidR="003B6D4B" w:rsidRPr="003B6D4B">
              <w:rPr>
                <w:rStyle w:val="Hipervnculo"/>
                <w:rFonts w:ascii="Times New Roman" w:hAnsi="Times New Roman"/>
                <w:noProof/>
                <w:sz w:val="24"/>
                <w:szCs w:val="24"/>
              </w:rPr>
              <w:t>NOTA 4. RESUMEN DE POLÍTICAS CONTABLES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_Toc32317239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w:t>
            </w:r>
            <w:r w:rsidR="003B6D4B" w:rsidRPr="003B6D4B">
              <w:rPr>
                <w:rFonts w:ascii="Times New Roman" w:hAnsi="Times New Roman"/>
                <w:noProof/>
                <w:webHidden/>
                <w:sz w:val="24"/>
                <w:szCs w:val="24"/>
              </w:rPr>
              <w:fldChar w:fldCharType="end"/>
            </w:r>
          </w:hyperlink>
        </w:p>
        <w:p w14:paraId="74AC997F"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40" w:history="1">
            <w:r w:rsidR="003B6D4B" w:rsidRPr="003B6D4B">
              <w:rPr>
                <w:rStyle w:val="Hipervnculo"/>
                <w:rFonts w:ascii="Times New Roman" w:hAnsi="Times New Roman"/>
                <w:noProof/>
                <w:sz w:val="24"/>
                <w:szCs w:val="24"/>
              </w:rPr>
              <w:t>NOTA 5. EFECTIVO Y EQUIVALENTES AL EFECTIVO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23</w:t>
            </w:r>
            <w:r w:rsidR="003B6D4B" w:rsidRPr="003B6D4B">
              <w:rPr>
                <w:rFonts w:ascii="Times New Roman" w:hAnsi="Times New Roman"/>
                <w:noProof/>
                <w:webHidden/>
                <w:sz w:val="24"/>
                <w:szCs w:val="24"/>
              </w:rPr>
              <w:fldChar w:fldCharType="end"/>
            </w:r>
          </w:hyperlink>
        </w:p>
        <w:p w14:paraId="1C898BF5" w14:textId="77777777" w:rsidR="003B6D4B" w:rsidRPr="003B6D4B" w:rsidRDefault="00D80027">
          <w:pPr>
            <w:pStyle w:val="TDC2"/>
            <w:tabs>
              <w:tab w:val="right" w:leader="dot" w:pos="9111"/>
            </w:tabs>
            <w:rPr>
              <w:rFonts w:ascii="Times New Roman" w:hAnsi="Times New Roman"/>
              <w:noProof/>
              <w:sz w:val="24"/>
              <w:szCs w:val="24"/>
            </w:rPr>
          </w:pPr>
          <w:hyperlink w:anchor="_Toc32317241"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23</w:t>
            </w:r>
            <w:r w:rsidR="003B6D4B" w:rsidRPr="003B6D4B">
              <w:rPr>
                <w:rFonts w:ascii="Times New Roman" w:hAnsi="Times New Roman"/>
                <w:noProof/>
                <w:webHidden/>
                <w:sz w:val="24"/>
                <w:szCs w:val="24"/>
              </w:rPr>
              <w:fldChar w:fldCharType="end"/>
            </w:r>
          </w:hyperlink>
        </w:p>
        <w:p w14:paraId="63CB025B"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42" w:history="1">
            <w:r w:rsidR="003B6D4B" w:rsidRPr="003B6D4B">
              <w:rPr>
                <w:rStyle w:val="Hipervnculo"/>
                <w:rFonts w:ascii="Times New Roman" w:hAnsi="Times New Roman"/>
                <w:noProof/>
                <w:sz w:val="24"/>
                <w:szCs w:val="24"/>
              </w:rPr>
              <w:t>5.1.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Depósitos en instituciones financieras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24</w:t>
            </w:r>
            <w:r w:rsidR="003B6D4B" w:rsidRPr="003B6D4B">
              <w:rPr>
                <w:rFonts w:ascii="Times New Roman" w:hAnsi="Times New Roman"/>
                <w:noProof/>
                <w:webHidden/>
                <w:sz w:val="24"/>
                <w:szCs w:val="24"/>
              </w:rPr>
              <w:fldChar w:fldCharType="end"/>
            </w:r>
          </w:hyperlink>
        </w:p>
        <w:p w14:paraId="7E263A6A"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43" w:history="1">
            <w:r w:rsidR="003B6D4B" w:rsidRPr="003B6D4B">
              <w:rPr>
                <w:rStyle w:val="Hipervnculo"/>
                <w:rFonts w:ascii="Times New Roman" w:hAnsi="Times New Roman"/>
                <w:noProof/>
                <w:sz w:val="24"/>
                <w:szCs w:val="24"/>
              </w:rPr>
              <w:t>5.2.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Efectivo de uso restringido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25</w:t>
            </w:r>
            <w:r w:rsidR="003B6D4B" w:rsidRPr="003B6D4B">
              <w:rPr>
                <w:rFonts w:ascii="Times New Roman" w:hAnsi="Times New Roman"/>
                <w:noProof/>
                <w:webHidden/>
                <w:sz w:val="24"/>
                <w:szCs w:val="24"/>
              </w:rPr>
              <w:fldChar w:fldCharType="end"/>
            </w:r>
          </w:hyperlink>
        </w:p>
        <w:p w14:paraId="1B9C0127"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44" w:history="1">
            <w:r w:rsidR="003B6D4B" w:rsidRPr="003B6D4B">
              <w:rPr>
                <w:rStyle w:val="Hipervnculo"/>
                <w:rFonts w:ascii="Times New Roman" w:hAnsi="Times New Roman"/>
                <w:noProof/>
                <w:sz w:val="24"/>
                <w:szCs w:val="24"/>
              </w:rPr>
              <w:t>NOTA 6. INVERSIONES E INSTRUMENTOS DERIVADOS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27</w:t>
            </w:r>
            <w:r w:rsidR="003B6D4B" w:rsidRPr="003B6D4B">
              <w:rPr>
                <w:rFonts w:ascii="Times New Roman" w:hAnsi="Times New Roman"/>
                <w:noProof/>
                <w:webHidden/>
                <w:sz w:val="24"/>
                <w:szCs w:val="24"/>
              </w:rPr>
              <w:fldChar w:fldCharType="end"/>
            </w:r>
          </w:hyperlink>
        </w:p>
        <w:p w14:paraId="4AE4E665" w14:textId="77777777" w:rsidR="003B6D4B" w:rsidRPr="003B6D4B" w:rsidRDefault="00D80027">
          <w:pPr>
            <w:pStyle w:val="TDC2"/>
            <w:tabs>
              <w:tab w:val="right" w:leader="dot" w:pos="9111"/>
            </w:tabs>
            <w:rPr>
              <w:rFonts w:ascii="Times New Roman" w:hAnsi="Times New Roman"/>
              <w:noProof/>
              <w:sz w:val="24"/>
              <w:szCs w:val="24"/>
            </w:rPr>
          </w:pPr>
          <w:hyperlink w:anchor="_Toc32317245"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27</w:t>
            </w:r>
            <w:r w:rsidR="003B6D4B" w:rsidRPr="003B6D4B">
              <w:rPr>
                <w:rFonts w:ascii="Times New Roman" w:hAnsi="Times New Roman"/>
                <w:noProof/>
                <w:webHidden/>
                <w:sz w:val="24"/>
                <w:szCs w:val="24"/>
              </w:rPr>
              <w:fldChar w:fldCharType="end"/>
            </w:r>
          </w:hyperlink>
        </w:p>
        <w:p w14:paraId="4A67977E"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46" w:history="1">
            <w:r w:rsidR="003B6D4B" w:rsidRPr="003B6D4B">
              <w:rPr>
                <w:rStyle w:val="Hipervnculo"/>
                <w:rFonts w:ascii="Times New Roman" w:hAnsi="Times New Roman"/>
                <w:noProof/>
                <w:sz w:val="24"/>
                <w:szCs w:val="24"/>
              </w:rPr>
              <w:t>6.1.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Inversiones de administración de liquidez a costo amortizado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27</w:t>
            </w:r>
            <w:r w:rsidR="003B6D4B" w:rsidRPr="003B6D4B">
              <w:rPr>
                <w:rFonts w:ascii="Times New Roman" w:hAnsi="Times New Roman"/>
                <w:noProof/>
                <w:webHidden/>
                <w:sz w:val="24"/>
                <w:szCs w:val="24"/>
              </w:rPr>
              <w:fldChar w:fldCharType="end"/>
            </w:r>
          </w:hyperlink>
        </w:p>
        <w:p w14:paraId="032B9EB5"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47" w:history="1">
            <w:r w:rsidR="003B6D4B" w:rsidRPr="003B6D4B">
              <w:rPr>
                <w:rStyle w:val="Hipervnculo"/>
                <w:rFonts w:ascii="Times New Roman" w:hAnsi="Times New Roman"/>
                <w:noProof/>
                <w:sz w:val="24"/>
                <w:szCs w:val="24"/>
              </w:rPr>
              <w:t>6.2.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Inversiones de administración de liquidez al costo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35</w:t>
            </w:r>
            <w:r w:rsidR="003B6D4B" w:rsidRPr="003B6D4B">
              <w:rPr>
                <w:rFonts w:ascii="Times New Roman" w:hAnsi="Times New Roman"/>
                <w:noProof/>
                <w:webHidden/>
                <w:sz w:val="24"/>
                <w:szCs w:val="24"/>
              </w:rPr>
              <w:fldChar w:fldCharType="end"/>
            </w:r>
          </w:hyperlink>
        </w:p>
        <w:p w14:paraId="3B7448BE"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48" w:history="1">
            <w:r w:rsidR="003B6D4B" w:rsidRPr="003B6D4B">
              <w:rPr>
                <w:rStyle w:val="Hipervnculo"/>
                <w:rFonts w:ascii="Times New Roman" w:hAnsi="Times New Roman"/>
                <w:noProof/>
                <w:sz w:val="24"/>
                <w:szCs w:val="24"/>
              </w:rPr>
              <w:t>NOTA 7. CUENTAS POR COBRAR</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36</w:t>
            </w:r>
            <w:r w:rsidR="003B6D4B" w:rsidRPr="003B6D4B">
              <w:rPr>
                <w:rFonts w:ascii="Times New Roman" w:hAnsi="Times New Roman"/>
                <w:noProof/>
                <w:webHidden/>
                <w:sz w:val="24"/>
                <w:szCs w:val="24"/>
              </w:rPr>
              <w:fldChar w:fldCharType="end"/>
            </w:r>
          </w:hyperlink>
        </w:p>
        <w:p w14:paraId="77176356" w14:textId="77777777" w:rsidR="003B6D4B" w:rsidRPr="003B6D4B" w:rsidRDefault="00D80027">
          <w:pPr>
            <w:pStyle w:val="TDC2"/>
            <w:tabs>
              <w:tab w:val="right" w:leader="dot" w:pos="9111"/>
            </w:tabs>
            <w:rPr>
              <w:rFonts w:ascii="Times New Roman" w:hAnsi="Times New Roman"/>
              <w:noProof/>
              <w:sz w:val="24"/>
              <w:szCs w:val="24"/>
            </w:rPr>
          </w:pPr>
          <w:hyperlink w:anchor="_Toc32317249"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_Toc32317249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36</w:t>
            </w:r>
            <w:r w:rsidR="003B6D4B" w:rsidRPr="003B6D4B">
              <w:rPr>
                <w:rFonts w:ascii="Times New Roman" w:hAnsi="Times New Roman"/>
                <w:noProof/>
                <w:webHidden/>
                <w:sz w:val="24"/>
                <w:szCs w:val="24"/>
              </w:rPr>
              <w:fldChar w:fldCharType="end"/>
            </w:r>
          </w:hyperlink>
        </w:p>
        <w:p w14:paraId="574AC191"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0" w:history="1">
            <w:r w:rsidR="003B6D4B" w:rsidRPr="003B6D4B">
              <w:rPr>
                <w:rStyle w:val="Hipervnculo"/>
                <w:rFonts w:ascii="Times New Roman" w:hAnsi="Times New Roman"/>
                <w:noProof/>
                <w:sz w:val="24"/>
                <w:szCs w:val="24"/>
              </w:rPr>
              <w:t>7.1.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Contribuciones e ingresos no tributarios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36</w:t>
            </w:r>
            <w:r w:rsidR="003B6D4B" w:rsidRPr="003B6D4B">
              <w:rPr>
                <w:rFonts w:ascii="Times New Roman" w:hAnsi="Times New Roman"/>
                <w:noProof/>
                <w:webHidden/>
                <w:sz w:val="24"/>
                <w:szCs w:val="24"/>
              </w:rPr>
              <w:fldChar w:fldCharType="end"/>
            </w:r>
          </w:hyperlink>
        </w:p>
        <w:p w14:paraId="69F0C418"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1" w:history="1">
            <w:r w:rsidR="003B6D4B" w:rsidRPr="003B6D4B">
              <w:rPr>
                <w:rStyle w:val="Hipervnculo"/>
                <w:rFonts w:ascii="Times New Roman" w:hAnsi="Times New Roman"/>
                <w:noProof/>
                <w:sz w:val="24"/>
                <w:szCs w:val="24"/>
              </w:rPr>
              <w:t>7.2.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Otras transferencias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40</w:t>
            </w:r>
            <w:r w:rsidR="003B6D4B" w:rsidRPr="003B6D4B">
              <w:rPr>
                <w:rFonts w:ascii="Times New Roman" w:hAnsi="Times New Roman"/>
                <w:noProof/>
                <w:webHidden/>
                <w:sz w:val="24"/>
                <w:szCs w:val="24"/>
              </w:rPr>
              <w:fldChar w:fldCharType="end"/>
            </w:r>
          </w:hyperlink>
        </w:p>
        <w:p w14:paraId="549FC68D"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2" w:history="1">
            <w:r w:rsidR="003B6D4B" w:rsidRPr="003B6D4B">
              <w:rPr>
                <w:rStyle w:val="Hipervnculo"/>
                <w:rFonts w:ascii="Times New Roman" w:hAnsi="Times New Roman"/>
                <w:noProof/>
                <w:sz w:val="24"/>
                <w:szCs w:val="24"/>
              </w:rPr>
              <w:t>7.3.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Deterioro contribuciones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41</w:t>
            </w:r>
            <w:r w:rsidR="003B6D4B" w:rsidRPr="003B6D4B">
              <w:rPr>
                <w:rFonts w:ascii="Times New Roman" w:hAnsi="Times New Roman"/>
                <w:noProof/>
                <w:webHidden/>
                <w:sz w:val="24"/>
                <w:szCs w:val="24"/>
              </w:rPr>
              <w:fldChar w:fldCharType="end"/>
            </w:r>
          </w:hyperlink>
        </w:p>
        <w:p w14:paraId="1090F667"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3" w:history="1">
            <w:r w:rsidR="003B6D4B" w:rsidRPr="003B6D4B">
              <w:rPr>
                <w:rStyle w:val="Hipervnculo"/>
                <w:rFonts w:ascii="Times New Roman" w:hAnsi="Times New Roman"/>
                <w:noProof/>
                <w:sz w:val="24"/>
                <w:szCs w:val="24"/>
              </w:rPr>
              <w:t>7.4.</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Otros deudores varios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48</w:t>
            </w:r>
            <w:r w:rsidR="003B6D4B" w:rsidRPr="003B6D4B">
              <w:rPr>
                <w:rFonts w:ascii="Times New Roman" w:hAnsi="Times New Roman"/>
                <w:noProof/>
                <w:webHidden/>
                <w:sz w:val="24"/>
                <w:szCs w:val="24"/>
              </w:rPr>
              <w:fldChar w:fldCharType="end"/>
            </w:r>
          </w:hyperlink>
        </w:p>
        <w:p w14:paraId="24498577"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4" w:history="1">
            <w:r w:rsidR="003B6D4B" w:rsidRPr="003B6D4B">
              <w:rPr>
                <w:rStyle w:val="Hipervnculo"/>
                <w:rFonts w:ascii="Times New Roman" w:hAnsi="Times New Roman"/>
                <w:noProof/>
                <w:sz w:val="24"/>
                <w:szCs w:val="24"/>
              </w:rPr>
              <w:t>7.5.</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Cuentas por cobrar vencidas no deterioradas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48</w:t>
            </w:r>
            <w:r w:rsidR="003B6D4B" w:rsidRPr="003B6D4B">
              <w:rPr>
                <w:rFonts w:ascii="Times New Roman" w:hAnsi="Times New Roman"/>
                <w:noProof/>
                <w:webHidden/>
                <w:sz w:val="24"/>
                <w:szCs w:val="24"/>
              </w:rPr>
              <w:fldChar w:fldCharType="end"/>
            </w:r>
          </w:hyperlink>
        </w:p>
        <w:p w14:paraId="3391FAFA"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5" w:history="1">
            <w:r w:rsidR="003B6D4B" w:rsidRPr="003B6D4B">
              <w:rPr>
                <w:rStyle w:val="Hipervnculo"/>
                <w:rFonts w:ascii="Times New Roman" w:hAnsi="Times New Roman"/>
                <w:noProof/>
                <w:sz w:val="24"/>
                <w:szCs w:val="24"/>
              </w:rPr>
              <w:t>7.6.</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Cargas urbanísticas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49</w:t>
            </w:r>
            <w:r w:rsidR="003B6D4B" w:rsidRPr="003B6D4B">
              <w:rPr>
                <w:rFonts w:ascii="Times New Roman" w:hAnsi="Times New Roman"/>
                <w:noProof/>
                <w:webHidden/>
                <w:sz w:val="24"/>
                <w:szCs w:val="24"/>
              </w:rPr>
              <w:fldChar w:fldCharType="end"/>
            </w:r>
          </w:hyperlink>
        </w:p>
        <w:p w14:paraId="02560D02"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56" w:history="1">
            <w:r w:rsidR="003B6D4B" w:rsidRPr="003B6D4B">
              <w:rPr>
                <w:rStyle w:val="Hipervnculo"/>
                <w:rFonts w:ascii="Times New Roman" w:hAnsi="Times New Roman"/>
                <w:noProof/>
                <w:sz w:val="24"/>
                <w:szCs w:val="24"/>
              </w:rPr>
              <w:t>NOTA 9. INVENTARIOS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50</w:t>
            </w:r>
            <w:r w:rsidR="003B6D4B" w:rsidRPr="003B6D4B">
              <w:rPr>
                <w:rFonts w:ascii="Times New Roman" w:hAnsi="Times New Roman"/>
                <w:noProof/>
                <w:webHidden/>
                <w:sz w:val="24"/>
                <w:szCs w:val="24"/>
              </w:rPr>
              <w:fldChar w:fldCharType="end"/>
            </w:r>
          </w:hyperlink>
        </w:p>
        <w:p w14:paraId="3A3DC471" w14:textId="77777777" w:rsidR="003B6D4B" w:rsidRPr="003B6D4B" w:rsidRDefault="00D80027">
          <w:pPr>
            <w:pStyle w:val="TDC2"/>
            <w:tabs>
              <w:tab w:val="right" w:leader="dot" w:pos="9111"/>
            </w:tabs>
            <w:rPr>
              <w:rFonts w:ascii="Times New Roman" w:hAnsi="Times New Roman"/>
              <w:noProof/>
              <w:sz w:val="24"/>
              <w:szCs w:val="24"/>
            </w:rPr>
          </w:pPr>
          <w:hyperlink w:anchor="_Toc32317257"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50</w:t>
            </w:r>
            <w:r w:rsidR="003B6D4B" w:rsidRPr="003B6D4B">
              <w:rPr>
                <w:rFonts w:ascii="Times New Roman" w:hAnsi="Times New Roman"/>
                <w:noProof/>
                <w:webHidden/>
                <w:sz w:val="24"/>
                <w:szCs w:val="24"/>
              </w:rPr>
              <w:fldChar w:fldCharType="end"/>
            </w:r>
          </w:hyperlink>
        </w:p>
        <w:p w14:paraId="6EA5FE2A"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8" w:history="1">
            <w:r w:rsidR="003B6D4B" w:rsidRPr="003B6D4B">
              <w:rPr>
                <w:rStyle w:val="Hipervnculo"/>
                <w:rFonts w:ascii="Times New Roman" w:hAnsi="Times New Roman"/>
                <w:noProof/>
                <w:sz w:val="24"/>
                <w:szCs w:val="24"/>
              </w:rPr>
              <w:t>9.1.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Predios sobrantes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50</w:t>
            </w:r>
            <w:r w:rsidR="003B6D4B" w:rsidRPr="003B6D4B">
              <w:rPr>
                <w:rFonts w:ascii="Times New Roman" w:hAnsi="Times New Roman"/>
                <w:noProof/>
                <w:webHidden/>
                <w:sz w:val="24"/>
                <w:szCs w:val="24"/>
              </w:rPr>
              <w:fldChar w:fldCharType="end"/>
            </w:r>
          </w:hyperlink>
        </w:p>
        <w:p w14:paraId="71147D4D" w14:textId="77777777" w:rsidR="003B6D4B" w:rsidRPr="003B6D4B" w:rsidRDefault="00D80027">
          <w:pPr>
            <w:pStyle w:val="TDC2"/>
            <w:tabs>
              <w:tab w:val="left" w:pos="880"/>
              <w:tab w:val="right" w:leader="dot" w:pos="9111"/>
            </w:tabs>
            <w:rPr>
              <w:rFonts w:ascii="Times New Roman" w:hAnsi="Times New Roman"/>
              <w:noProof/>
              <w:sz w:val="24"/>
              <w:szCs w:val="24"/>
            </w:rPr>
          </w:pPr>
          <w:hyperlink w:anchor="_Toc32317259" w:history="1">
            <w:r w:rsidR="003B6D4B" w:rsidRPr="003B6D4B">
              <w:rPr>
                <w:rStyle w:val="Hipervnculo"/>
                <w:rFonts w:ascii="Times New Roman" w:hAnsi="Times New Roman"/>
                <w:noProof/>
                <w:sz w:val="24"/>
                <w:szCs w:val="24"/>
              </w:rPr>
              <w:t>9.2.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Deterioro de predios sobrantes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_Toc32317259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51</w:t>
            </w:r>
            <w:r w:rsidR="003B6D4B" w:rsidRPr="003B6D4B">
              <w:rPr>
                <w:rFonts w:ascii="Times New Roman" w:hAnsi="Times New Roman"/>
                <w:noProof/>
                <w:webHidden/>
                <w:sz w:val="24"/>
                <w:szCs w:val="24"/>
              </w:rPr>
              <w:fldChar w:fldCharType="end"/>
            </w:r>
          </w:hyperlink>
        </w:p>
        <w:p w14:paraId="3A17F07A"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60" w:history="1">
            <w:r w:rsidR="003B6D4B" w:rsidRPr="003B6D4B">
              <w:rPr>
                <w:rStyle w:val="Hipervnculo"/>
                <w:rFonts w:ascii="Times New Roman" w:hAnsi="Times New Roman"/>
                <w:noProof/>
                <w:sz w:val="24"/>
                <w:szCs w:val="24"/>
              </w:rPr>
              <w:t>NOTA 10. PROPIEDADES, PLANTA Y EQUIPO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53</w:t>
            </w:r>
            <w:r w:rsidR="003B6D4B" w:rsidRPr="003B6D4B">
              <w:rPr>
                <w:rFonts w:ascii="Times New Roman" w:hAnsi="Times New Roman"/>
                <w:noProof/>
                <w:webHidden/>
                <w:sz w:val="24"/>
                <w:szCs w:val="24"/>
              </w:rPr>
              <w:fldChar w:fldCharType="end"/>
            </w:r>
          </w:hyperlink>
        </w:p>
        <w:p w14:paraId="43715BC0" w14:textId="77777777" w:rsidR="003B6D4B" w:rsidRPr="003B6D4B" w:rsidRDefault="00D80027">
          <w:pPr>
            <w:pStyle w:val="TDC2"/>
            <w:tabs>
              <w:tab w:val="right" w:leader="dot" w:pos="9111"/>
            </w:tabs>
            <w:rPr>
              <w:rFonts w:ascii="Times New Roman" w:hAnsi="Times New Roman"/>
              <w:noProof/>
              <w:sz w:val="24"/>
              <w:szCs w:val="24"/>
            </w:rPr>
          </w:pPr>
          <w:hyperlink w:anchor="_Toc32317261"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53</w:t>
            </w:r>
            <w:r w:rsidR="003B6D4B" w:rsidRPr="003B6D4B">
              <w:rPr>
                <w:rFonts w:ascii="Times New Roman" w:hAnsi="Times New Roman"/>
                <w:noProof/>
                <w:webHidden/>
                <w:sz w:val="24"/>
                <w:szCs w:val="24"/>
              </w:rPr>
              <w:fldChar w:fldCharType="end"/>
            </w:r>
          </w:hyperlink>
        </w:p>
        <w:p w14:paraId="6ED9B003"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62" w:history="1">
            <w:r w:rsidR="003B6D4B" w:rsidRPr="003B6D4B">
              <w:rPr>
                <w:rStyle w:val="Hipervnculo"/>
                <w:rFonts w:ascii="Times New Roman" w:hAnsi="Times New Roman"/>
                <w:noProof/>
                <w:sz w:val="24"/>
                <w:szCs w:val="24"/>
              </w:rPr>
              <w:t>10.1.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Bienes inmuebles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54</w:t>
            </w:r>
            <w:r w:rsidR="003B6D4B" w:rsidRPr="003B6D4B">
              <w:rPr>
                <w:rFonts w:ascii="Times New Roman" w:hAnsi="Times New Roman"/>
                <w:noProof/>
                <w:webHidden/>
                <w:sz w:val="24"/>
                <w:szCs w:val="24"/>
              </w:rPr>
              <w:fldChar w:fldCharType="end"/>
            </w:r>
          </w:hyperlink>
        </w:p>
        <w:p w14:paraId="30424612"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63" w:history="1">
            <w:r w:rsidR="003B6D4B" w:rsidRPr="003B6D4B">
              <w:rPr>
                <w:rStyle w:val="Hipervnculo"/>
                <w:rFonts w:ascii="Times New Roman" w:hAnsi="Times New Roman"/>
                <w:noProof/>
                <w:sz w:val="24"/>
                <w:szCs w:val="24"/>
              </w:rPr>
              <w:t>10.2.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Bienes muebles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57</w:t>
            </w:r>
            <w:r w:rsidR="003B6D4B" w:rsidRPr="003B6D4B">
              <w:rPr>
                <w:rFonts w:ascii="Times New Roman" w:hAnsi="Times New Roman"/>
                <w:noProof/>
                <w:webHidden/>
                <w:sz w:val="24"/>
                <w:szCs w:val="24"/>
              </w:rPr>
              <w:fldChar w:fldCharType="end"/>
            </w:r>
          </w:hyperlink>
        </w:p>
        <w:p w14:paraId="7986F86D"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64" w:history="1">
            <w:r w:rsidR="003B6D4B" w:rsidRPr="003B6D4B">
              <w:rPr>
                <w:rStyle w:val="Hipervnculo"/>
                <w:rFonts w:ascii="Times New Roman" w:hAnsi="Times New Roman"/>
                <w:noProof/>
                <w:sz w:val="24"/>
                <w:szCs w:val="24"/>
              </w:rPr>
              <w:t>10.3.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Estimaciones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61</w:t>
            </w:r>
            <w:r w:rsidR="003B6D4B" w:rsidRPr="003B6D4B">
              <w:rPr>
                <w:rFonts w:ascii="Times New Roman" w:hAnsi="Times New Roman"/>
                <w:noProof/>
                <w:webHidden/>
                <w:sz w:val="24"/>
                <w:szCs w:val="24"/>
              </w:rPr>
              <w:fldChar w:fldCharType="end"/>
            </w:r>
          </w:hyperlink>
        </w:p>
        <w:p w14:paraId="49F57046"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65" w:history="1">
            <w:r w:rsidR="003B6D4B" w:rsidRPr="003B6D4B">
              <w:rPr>
                <w:rStyle w:val="Hipervnculo"/>
                <w:rFonts w:ascii="Times New Roman" w:hAnsi="Times New Roman"/>
                <w:noProof/>
                <w:sz w:val="24"/>
                <w:szCs w:val="24"/>
              </w:rPr>
              <w:t>NOTA 11. BIENES DE USO PÚBLICO E HISTÓRICOS Y CULTURALES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62</w:t>
            </w:r>
            <w:r w:rsidR="003B6D4B" w:rsidRPr="003B6D4B">
              <w:rPr>
                <w:rFonts w:ascii="Times New Roman" w:hAnsi="Times New Roman"/>
                <w:noProof/>
                <w:webHidden/>
                <w:sz w:val="24"/>
                <w:szCs w:val="24"/>
              </w:rPr>
              <w:fldChar w:fldCharType="end"/>
            </w:r>
          </w:hyperlink>
        </w:p>
        <w:p w14:paraId="67E0FEE0" w14:textId="77777777" w:rsidR="003B6D4B" w:rsidRPr="003B6D4B" w:rsidRDefault="00D80027">
          <w:pPr>
            <w:pStyle w:val="TDC2"/>
            <w:tabs>
              <w:tab w:val="right" w:leader="dot" w:pos="9111"/>
            </w:tabs>
            <w:rPr>
              <w:rFonts w:ascii="Times New Roman" w:hAnsi="Times New Roman"/>
              <w:noProof/>
              <w:sz w:val="24"/>
              <w:szCs w:val="24"/>
            </w:rPr>
          </w:pPr>
          <w:hyperlink w:anchor="_Toc32317266"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62</w:t>
            </w:r>
            <w:r w:rsidR="003B6D4B" w:rsidRPr="003B6D4B">
              <w:rPr>
                <w:rFonts w:ascii="Times New Roman" w:hAnsi="Times New Roman"/>
                <w:noProof/>
                <w:webHidden/>
                <w:sz w:val="24"/>
                <w:szCs w:val="24"/>
              </w:rPr>
              <w:fldChar w:fldCharType="end"/>
            </w:r>
          </w:hyperlink>
        </w:p>
        <w:p w14:paraId="3D9EC239"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67" w:history="1">
            <w:r w:rsidR="003B6D4B" w:rsidRPr="003B6D4B">
              <w:rPr>
                <w:rStyle w:val="Hipervnculo"/>
                <w:rFonts w:ascii="Times New Roman" w:hAnsi="Times New Roman"/>
                <w:noProof/>
                <w:sz w:val="24"/>
                <w:szCs w:val="24"/>
              </w:rPr>
              <w:t>11.1.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Bienes de uso público de Transmilenio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62</w:t>
            </w:r>
            <w:r w:rsidR="003B6D4B" w:rsidRPr="003B6D4B">
              <w:rPr>
                <w:rFonts w:ascii="Times New Roman" w:hAnsi="Times New Roman"/>
                <w:noProof/>
                <w:webHidden/>
                <w:sz w:val="24"/>
                <w:szCs w:val="24"/>
              </w:rPr>
              <w:fldChar w:fldCharType="end"/>
            </w:r>
          </w:hyperlink>
        </w:p>
        <w:p w14:paraId="0E8DDF4C"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68" w:history="1">
            <w:r w:rsidR="003B6D4B" w:rsidRPr="003B6D4B">
              <w:rPr>
                <w:rStyle w:val="Hipervnculo"/>
                <w:rFonts w:ascii="Times New Roman" w:hAnsi="Times New Roman"/>
                <w:noProof/>
                <w:sz w:val="24"/>
                <w:szCs w:val="24"/>
              </w:rPr>
              <w:t>11.2.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Bienes de uso público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64</w:t>
            </w:r>
            <w:r w:rsidR="003B6D4B" w:rsidRPr="003B6D4B">
              <w:rPr>
                <w:rFonts w:ascii="Times New Roman" w:hAnsi="Times New Roman"/>
                <w:noProof/>
                <w:webHidden/>
                <w:sz w:val="24"/>
                <w:szCs w:val="24"/>
              </w:rPr>
              <w:fldChar w:fldCharType="end"/>
            </w:r>
          </w:hyperlink>
        </w:p>
        <w:p w14:paraId="73BC313C"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69" w:history="1">
            <w:r w:rsidR="003B6D4B" w:rsidRPr="003B6D4B">
              <w:rPr>
                <w:rStyle w:val="Hipervnculo"/>
                <w:rFonts w:ascii="Times New Roman" w:hAnsi="Times New Roman"/>
                <w:noProof/>
                <w:sz w:val="24"/>
                <w:szCs w:val="24"/>
              </w:rPr>
              <w:t>NOTA 14. ACTIVOS INTANGIBLES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_Toc32317269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68</w:t>
            </w:r>
            <w:r w:rsidR="003B6D4B" w:rsidRPr="003B6D4B">
              <w:rPr>
                <w:rFonts w:ascii="Times New Roman" w:hAnsi="Times New Roman"/>
                <w:noProof/>
                <w:webHidden/>
                <w:sz w:val="24"/>
                <w:szCs w:val="24"/>
              </w:rPr>
              <w:fldChar w:fldCharType="end"/>
            </w:r>
          </w:hyperlink>
        </w:p>
        <w:p w14:paraId="15B9C7B5" w14:textId="77777777" w:rsidR="003B6D4B" w:rsidRPr="003B6D4B" w:rsidRDefault="00D80027">
          <w:pPr>
            <w:pStyle w:val="TDC2"/>
            <w:tabs>
              <w:tab w:val="right" w:leader="dot" w:pos="9111"/>
            </w:tabs>
            <w:rPr>
              <w:rFonts w:ascii="Times New Roman" w:hAnsi="Times New Roman"/>
              <w:noProof/>
              <w:sz w:val="24"/>
              <w:szCs w:val="24"/>
            </w:rPr>
          </w:pPr>
          <w:hyperlink w:anchor="_Toc32317270"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68</w:t>
            </w:r>
            <w:r w:rsidR="003B6D4B" w:rsidRPr="003B6D4B">
              <w:rPr>
                <w:rFonts w:ascii="Times New Roman" w:hAnsi="Times New Roman"/>
                <w:noProof/>
                <w:webHidden/>
                <w:sz w:val="24"/>
                <w:szCs w:val="24"/>
              </w:rPr>
              <w:fldChar w:fldCharType="end"/>
            </w:r>
          </w:hyperlink>
        </w:p>
        <w:p w14:paraId="132F1671"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71" w:history="1">
            <w:r w:rsidR="003B6D4B" w:rsidRPr="003B6D4B">
              <w:rPr>
                <w:rStyle w:val="Hipervnculo"/>
                <w:rFonts w:ascii="Times New Roman" w:hAnsi="Times New Roman"/>
                <w:noProof/>
                <w:sz w:val="24"/>
                <w:szCs w:val="24"/>
              </w:rPr>
              <w:t>NOTA 21. CUENTAS POR PAGAR</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70</w:t>
            </w:r>
            <w:r w:rsidR="003B6D4B" w:rsidRPr="003B6D4B">
              <w:rPr>
                <w:rFonts w:ascii="Times New Roman" w:hAnsi="Times New Roman"/>
                <w:noProof/>
                <w:webHidden/>
                <w:sz w:val="24"/>
                <w:szCs w:val="24"/>
              </w:rPr>
              <w:fldChar w:fldCharType="end"/>
            </w:r>
          </w:hyperlink>
        </w:p>
        <w:p w14:paraId="107C9C8F" w14:textId="77777777" w:rsidR="003B6D4B" w:rsidRPr="003B6D4B" w:rsidRDefault="00D80027">
          <w:pPr>
            <w:pStyle w:val="TDC2"/>
            <w:tabs>
              <w:tab w:val="right" w:leader="dot" w:pos="9111"/>
            </w:tabs>
            <w:rPr>
              <w:rFonts w:ascii="Times New Roman" w:hAnsi="Times New Roman"/>
              <w:noProof/>
              <w:sz w:val="24"/>
              <w:szCs w:val="24"/>
            </w:rPr>
          </w:pPr>
          <w:hyperlink w:anchor="_Toc32317272"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70</w:t>
            </w:r>
            <w:r w:rsidR="003B6D4B" w:rsidRPr="003B6D4B">
              <w:rPr>
                <w:rFonts w:ascii="Times New Roman" w:hAnsi="Times New Roman"/>
                <w:noProof/>
                <w:webHidden/>
                <w:sz w:val="24"/>
                <w:szCs w:val="24"/>
              </w:rPr>
              <w:fldChar w:fldCharType="end"/>
            </w:r>
          </w:hyperlink>
        </w:p>
        <w:p w14:paraId="178ED392"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73" w:history="1">
            <w:r w:rsidR="003B6D4B" w:rsidRPr="003B6D4B">
              <w:rPr>
                <w:rStyle w:val="Hipervnculo"/>
                <w:rFonts w:ascii="Times New Roman" w:hAnsi="Times New Roman"/>
                <w:noProof/>
                <w:sz w:val="24"/>
                <w:szCs w:val="24"/>
              </w:rPr>
              <w:t>21.1.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Cobro cartera terceros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70</w:t>
            </w:r>
            <w:r w:rsidR="003B6D4B" w:rsidRPr="003B6D4B">
              <w:rPr>
                <w:rFonts w:ascii="Times New Roman" w:hAnsi="Times New Roman"/>
                <w:noProof/>
                <w:webHidden/>
                <w:sz w:val="24"/>
                <w:szCs w:val="24"/>
              </w:rPr>
              <w:fldChar w:fldCharType="end"/>
            </w:r>
          </w:hyperlink>
        </w:p>
        <w:p w14:paraId="5D5755AA"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74" w:history="1">
            <w:r w:rsidR="003B6D4B" w:rsidRPr="003B6D4B">
              <w:rPr>
                <w:rStyle w:val="Hipervnculo"/>
                <w:rFonts w:ascii="Times New Roman" w:hAnsi="Times New Roman"/>
                <w:noProof/>
                <w:sz w:val="24"/>
                <w:szCs w:val="24"/>
              </w:rPr>
              <w:t>21.2.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Saldo a favor de contribuyentes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71</w:t>
            </w:r>
            <w:r w:rsidR="003B6D4B" w:rsidRPr="003B6D4B">
              <w:rPr>
                <w:rFonts w:ascii="Times New Roman" w:hAnsi="Times New Roman"/>
                <w:noProof/>
                <w:webHidden/>
                <w:sz w:val="24"/>
                <w:szCs w:val="24"/>
              </w:rPr>
              <w:fldChar w:fldCharType="end"/>
            </w:r>
          </w:hyperlink>
        </w:p>
        <w:p w14:paraId="7A7E3B7D"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75" w:history="1">
            <w:r w:rsidR="003B6D4B" w:rsidRPr="003B6D4B">
              <w:rPr>
                <w:rStyle w:val="Hipervnculo"/>
                <w:rFonts w:ascii="Times New Roman" w:hAnsi="Times New Roman"/>
                <w:noProof/>
                <w:sz w:val="24"/>
                <w:szCs w:val="24"/>
              </w:rPr>
              <w:t>NOTA 22. BENEFICIOS A LOS EMPLEADOS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72</w:t>
            </w:r>
            <w:r w:rsidR="003B6D4B" w:rsidRPr="003B6D4B">
              <w:rPr>
                <w:rFonts w:ascii="Times New Roman" w:hAnsi="Times New Roman"/>
                <w:noProof/>
                <w:webHidden/>
                <w:sz w:val="24"/>
                <w:szCs w:val="24"/>
              </w:rPr>
              <w:fldChar w:fldCharType="end"/>
            </w:r>
          </w:hyperlink>
        </w:p>
        <w:p w14:paraId="57BD175B" w14:textId="77777777" w:rsidR="003B6D4B" w:rsidRPr="003B6D4B" w:rsidRDefault="00D80027">
          <w:pPr>
            <w:pStyle w:val="TDC2"/>
            <w:tabs>
              <w:tab w:val="right" w:leader="dot" w:pos="9111"/>
            </w:tabs>
            <w:rPr>
              <w:rFonts w:ascii="Times New Roman" w:hAnsi="Times New Roman"/>
              <w:noProof/>
              <w:sz w:val="24"/>
              <w:szCs w:val="24"/>
            </w:rPr>
          </w:pPr>
          <w:hyperlink w:anchor="_Toc32317276"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72</w:t>
            </w:r>
            <w:r w:rsidR="003B6D4B" w:rsidRPr="003B6D4B">
              <w:rPr>
                <w:rFonts w:ascii="Times New Roman" w:hAnsi="Times New Roman"/>
                <w:noProof/>
                <w:webHidden/>
                <w:sz w:val="24"/>
                <w:szCs w:val="24"/>
              </w:rPr>
              <w:fldChar w:fldCharType="end"/>
            </w:r>
          </w:hyperlink>
        </w:p>
        <w:p w14:paraId="0C35DC19"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77" w:history="1">
            <w:r w:rsidR="003B6D4B" w:rsidRPr="003B6D4B">
              <w:rPr>
                <w:rStyle w:val="Hipervnculo"/>
                <w:rFonts w:ascii="Times New Roman" w:hAnsi="Times New Roman"/>
                <w:noProof/>
                <w:sz w:val="24"/>
                <w:szCs w:val="24"/>
              </w:rPr>
              <w:t>22.1.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Beneficios a los empleados a corto plazo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73</w:t>
            </w:r>
            <w:r w:rsidR="003B6D4B" w:rsidRPr="003B6D4B">
              <w:rPr>
                <w:rFonts w:ascii="Times New Roman" w:hAnsi="Times New Roman"/>
                <w:noProof/>
                <w:webHidden/>
                <w:sz w:val="24"/>
                <w:szCs w:val="24"/>
              </w:rPr>
              <w:fldChar w:fldCharType="end"/>
            </w:r>
          </w:hyperlink>
        </w:p>
        <w:p w14:paraId="09495CFD"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78" w:history="1">
            <w:r w:rsidR="003B6D4B" w:rsidRPr="003B6D4B">
              <w:rPr>
                <w:rStyle w:val="Hipervnculo"/>
                <w:rFonts w:ascii="Times New Roman" w:hAnsi="Times New Roman"/>
                <w:noProof/>
                <w:sz w:val="24"/>
                <w:szCs w:val="24"/>
              </w:rPr>
              <w:t>22.2.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Beneficios a empleados a largo plazo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74</w:t>
            </w:r>
            <w:r w:rsidR="003B6D4B" w:rsidRPr="003B6D4B">
              <w:rPr>
                <w:rFonts w:ascii="Times New Roman" w:hAnsi="Times New Roman"/>
                <w:noProof/>
                <w:webHidden/>
                <w:sz w:val="24"/>
                <w:szCs w:val="24"/>
              </w:rPr>
              <w:fldChar w:fldCharType="end"/>
            </w:r>
          </w:hyperlink>
        </w:p>
        <w:p w14:paraId="5E810856"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79" w:history="1">
            <w:r w:rsidR="003B6D4B" w:rsidRPr="003B6D4B">
              <w:rPr>
                <w:rStyle w:val="Hipervnculo"/>
                <w:rFonts w:ascii="Times New Roman" w:hAnsi="Times New Roman"/>
                <w:noProof/>
                <w:sz w:val="24"/>
                <w:szCs w:val="24"/>
              </w:rPr>
              <w:t>NOTA 23. PROVISIONES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_Toc32317279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75</w:t>
            </w:r>
            <w:r w:rsidR="003B6D4B" w:rsidRPr="003B6D4B">
              <w:rPr>
                <w:rFonts w:ascii="Times New Roman" w:hAnsi="Times New Roman"/>
                <w:noProof/>
                <w:webHidden/>
                <w:sz w:val="24"/>
                <w:szCs w:val="24"/>
              </w:rPr>
              <w:fldChar w:fldCharType="end"/>
            </w:r>
          </w:hyperlink>
        </w:p>
        <w:p w14:paraId="1729AE73" w14:textId="77777777" w:rsidR="003B6D4B" w:rsidRPr="003B6D4B" w:rsidRDefault="00D80027">
          <w:pPr>
            <w:pStyle w:val="TDC2"/>
            <w:tabs>
              <w:tab w:val="right" w:leader="dot" w:pos="9111"/>
            </w:tabs>
            <w:rPr>
              <w:rFonts w:ascii="Times New Roman" w:hAnsi="Times New Roman"/>
              <w:noProof/>
              <w:sz w:val="24"/>
              <w:szCs w:val="24"/>
            </w:rPr>
          </w:pPr>
          <w:hyperlink w:anchor="_Toc32317280"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75</w:t>
            </w:r>
            <w:r w:rsidR="003B6D4B" w:rsidRPr="003B6D4B">
              <w:rPr>
                <w:rFonts w:ascii="Times New Roman" w:hAnsi="Times New Roman"/>
                <w:noProof/>
                <w:webHidden/>
                <w:sz w:val="24"/>
                <w:szCs w:val="24"/>
              </w:rPr>
              <w:fldChar w:fldCharType="end"/>
            </w:r>
          </w:hyperlink>
        </w:p>
        <w:p w14:paraId="35163823"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81" w:history="1">
            <w:r w:rsidR="003B6D4B" w:rsidRPr="003B6D4B">
              <w:rPr>
                <w:rStyle w:val="Hipervnculo"/>
                <w:rFonts w:ascii="Times New Roman" w:hAnsi="Times New Roman"/>
                <w:noProof/>
                <w:sz w:val="24"/>
                <w:szCs w:val="24"/>
              </w:rPr>
              <w:t>NOTA 24. OTROS PASIVOS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77</w:t>
            </w:r>
            <w:r w:rsidR="003B6D4B" w:rsidRPr="003B6D4B">
              <w:rPr>
                <w:rFonts w:ascii="Times New Roman" w:hAnsi="Times New Roman"/>
                <w:noProof/>
                <w:webHidden/>
                <w:sz w:val="24"/>
                <w:szCs w:val="24"/>
              </w:rPr>
              <w:fldChar w:fldCharType="end"/>
            </w:r>
          </w:hyperlink>
        </w:p>
        <w:p w14:paraId="30745FB2" w14:textId="77777777" w:rsidR="003B6D4B" w:rsidRPr="003B6D4B" w:rsidRDefault="00D80027">
          <w:pPr>
            <w:pStyle w:val="TDC2"/>
            <w:tabs>
              <w:tab w:val="right" w:leader="dot" w:pos="9111"/>
            </w:tabs>
            <w:rPr>
              <w:rFonts w:ascii="Times New Roman" w:hAnsi="Times New Roman"/>
              <w:noProof/>
              <w:sz w:val="24"/>
              <w:szCs w:val="24"/>
            </w:rPr>
          </w:pPr>
          <w:hyperlink w:anchor="_Toc32317282"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77</w:t>
            </w:r>
            <w:r w:rsidR="003B6D4B" w:rsidRPr="003B6D4B">
              <w:rPr>
                <w:rFonts w:ascii="Times New Roman" w:hAnsi="Times New Roman"/>
                <w:noProof/>
                <w:webHidden/>
                <w:sz w:val="24"/>
                <w:szCs w:val="24"/>
              </w:rPr>
              <w:fldChar w:fldCharType="end"/>
            </w:r>
          </w:hyperlink>
        </w:p>
        <w:p w14:paraId="7B88065A"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83" w:history="1">
            <w:r w:rsidR="003B6D4B" w:rsidRPr="003B6D4B">
              <w:rPr>
                <w:rStyle w:val="Hipervnculo"/>
                <w:rFonts w:ascii="Times New Roman" w:hAnsi="Times New Roman"/>
                <w:noProof/>
                <w:sz w:val="24"/>
                <w:szCs w:val="24"/>
              </w:rPr>
              <w:t>NOTA 25. ACTIVOS Y PASIVOS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79</w:t>
            </w:r>
            <w:r w:rsidR="003B6D4B" w:rsidRPr="003B6D4B">
              <w:rPr>
                <w:rFonts w:ascii="Times New Roman" w:hAnsi="Times New Roman"/>
                <w:noProof/>
                <w:webHidden/>
                <w:sz w:val="24"/>
                <w:szCs w:val="24"/>
              </w:rPr>
              <w:fldChar w:fldCharType="end"/>
            </w:r>
          </w:hyperlink>
        </w:p>
        <w:p w14:paraId="2C68B0F8"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84" w:history="1">
            <w:r w:rsidR="003B6D4B" w:rsidRPr="003B6D4B">
              <w:rPr>
                <w:rStyle w:val="Hipervnculo"/>
                <w:rFonts w:ascii="Times New Roman" w:hAnsi="Times New Roman"/>
                <w:noProof/>
                <w:sz w:val="24"/>
                <w:szCs w:val="24"/>
              </w:rPr>
              <w:t>25.1.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Activos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79</w:t>
            </w:r>
            <w:r w:rsidR="003B6D4B" w:rsidRPr="003B6D4B">
              <w:rPr>
                <w:rFonts w:ascii="Times New Roman" w:hAnsi="Times New Roman"/>
                <w:noProof/>
                <w:webHidden/>
                <w:sz w:val="24"/>
                <w:szCs w:val="24"/>
              </w:rPr>
              <w:fldChar w:fldCharType="end"/>
            </w:r>
          </w:hyperlink>
        </w:p>
        <w:p w14:paraId="4759E0C0"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85" w:history="1">
            <w:r w:rsidR="003B6D4B" w:rsidRPr="003B6D4B">
              <w:rPr>
                <w:rStyle w:val="Hipervnculo"/>
                <w:rFonts w:ascii="Times New Roman" w:hAnsi="Times New Roman"/>
                <w:noProof/>
                <w:sz w:val="24"/>
                <w:szCs w:val="24"/>
              </w:rPr>
              <w:t>25.2.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Pasivos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80</w:t>
            </w:r>
            <w:r w:rsidR="003B6D4B" w:rsidRPr="003B6D4B">
              <w:rPr>
                <w:rFonts w:ascii="Times New Roman" w:hAnsi="Times New Roman"/>
                <w:noProof/>
                <w:webHidden/>
                <w:sz w:val="24"/>
                <w:szCs w:val="24"/>
              </w:rPr>
              <w:fldChar w:fldCharType="end"/>
            </w:r>
          </w:hyperlink>
        </w:p>
        <w:p w14:paraId="5E100A9A"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86" w:history="1">
            <w:r w:rsidR="003B6D4B" w:rsidRPr="003B6D4B">
              <w:rPr>
                <w:rStyle w:val="Hipervnculo"/>
                <w:rFonts w:ascii="Times New Roman" w:hAnsi="Times New Roman"/>
                <w:noProof/>
                <w:sz w:val="24"/>
                <w:szCs w:val="24"/>
              </w:rPr>
              <w:t>25.3.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Otros pasivos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82</w:t>
            </w:r>
            <w:r w:rsidR="003B6D4B" w:rsidRPr="003B6D4B">
              <w:rPr>
                <w:rFonts w:ascii="Times New Roman" w:hAnsi="Times New Roman"/>
                <w:noProof/>
                <w:webHidden/>
                <w:sz w:val="24"/>
                <w:szCs w:val="24"/>
              </w:rPr>
              <w:fldChar w:fldCharType="end"/>
            </w:r>
          </w:hyperlink>
        </w:p>
        <w:p w14:paraId="2873A285"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87" w:history="1">
            <w:r w:rsidR="003B6D4B" w:rsidRPr="003B6D4B">
              <w:rPr>
                <w:rStyle w:val="Hipervnculo"/>
                <w:rFonts w:ascii="Times New Roman" w:hAnsi="Times New Roman"/>
                <w:noProof/>
                <w:sz w:val="24"/>
                <w:szCs w:val="24"/>
              </w:rPr>
              <w:t>NOTA 26. CUENTAS DE ORDEN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82</w:t>
            </w:r>
            <w:r w:rsidR="003B6D4B" w:rsidRPr="003B6D4B">
              <w:rPr>
                <w:rFonts w:ascii="Times New Roman" w:hAnsi="Times New Roman"/>
                <w:noProof/>
                <w:webHidden/>
                <w:sz w:val="24"/>
                <w:szCs w:val="24"/>
              </w:rPr>
              <w:fldChar w:fldCharType="end"/>
            </w:r>
          </w:hyperlink>
        </w:p>
        <w:p w14:paraId="772E835B"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88" w:history="1">
            <w:r w:rsidR="003B6D4B" w:rsidRPr="003B6D4B">
              <w:rPr>
                <w:rStyle w:val="Hipervnculo"/>
                <w:rFonts w:ascii="Times New Roman" w:hAnsi="Times New Roman"/>
                <w:noProof/>
                <w:sz w:val="24"/>
                <w:szCs w:val="24"/>
              </w:rPr>
              <w:t>26.1.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Derechos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82</w:t>
            </w:r>
            <w:r w:rsidR="003B6D4B" w:rsidRPr="003B6D4B">
              <w:rPr>
                <w:rFonts w:ascii="Times New Roman" w:hAnsi="Times New Roman"/>
                <w:noProof/>
                <w:webHidden/>
                <w:sz w:val="24"/>
                <w:szCs w:val="24"/>
              </w:rPr>
              <w:fldChar w:fldCharType="end"/>
            </w:r>
          </w:hyperlink>
        </w:p>
        <w:p w14:paraId="4E723F5B"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89" w:history="1">
            <w:r w:rsidR="003B6D4B" w:rsidRPr="003B6D4B">
              <w:rPr>
                <w:rStyle w:val="Hipervnculo"/>
                <w:rFonts w:ascii="Times New Roman" w:hAnsi="Times New Roman"/>
                <w:noProof/>
                <w:sz w:val="24"/>
                <w:szCs w:val="24"/>
              </w:rPr>
              <w:t>26.2.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Otros derechos contingentes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_Toc32317289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82</w:t>
            </w:r>
            <w:r w:rsidR="003B6D4B" w:rsidRPr="003B6D4B">
              <w:rPr>
                <w:rFonts w:ascii="Times New Roman" w:hAnsi="Times New Roman"/>
                <w:noProof/>
                <w:webHidden/>
                <w:sz w:val="24"/>
                <w:szCs w:val="24"/>
              </w:rPr>
              <w:fldChar w:fldCharType="end"/>
            </w:r>
          </w:hyperlink>
        </w:p>
        <w:p w14:paraId="0FF5654C"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90" w:history="1">
            <w:r w:rsidR="003B6D4B" w:rsidRPr="003B6D4B">
              <w:rPr>
                <w:rStyle w:val="Hipervnculo"/>
                <w:rFonts w:ascii="Times New Roman" w:hAnsi="Times New Roman"/>
                <w:noProof/>
                <w:sz w:val="24"/>
                <w:szCs w:val="24"/>
              </w:rPr>
              <w:t>NOTA 27. PATRIMONIO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84</w:t>
            </w:r>
            <w:r w:rsidR="003B6D4B" w:rsidRPr="003B6D4B">
              <w:rPr>
                <w:rFonts w:ascii="Times New Roman" w:hAnsi="Times New Roman"/>
                <w:noProof/>
                <w:webHidden/>
                <w:sz w:val="24"/>
                <w:szCs w:val="24"/>
              </w:rPr>
              <w:fldChar w:fldCharType="end"/>
            </w:r>
          </w:hyperlink>
        </w:p>
        <w:p w14:paraId="543BC2EA" w14:textId="77777777" w:rsidR="003B6D4B" w:rsidRPr="003B6D4B" w:rsidRDefault="00D80027">
          <w:pPr>
            <w:pStyle w:val="TDC2"/>
            <w:tabs>
              <w:tab w:val="right" w:leader="dot" w:pos="9111"/>
            </w:tabs>
            <w:rPr>
              <w:rFonts w:ascii="Times New Roman" w:hAnsi="Times New Roman"/>
              <w:noProof/>
              <w:sz w:val="24"/>
              <w:szCs w:val="24"/>
            </w:rPr>
          </w:pPr>
          <w:hyperlink w:anchor="_Toc32317291"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84</w:t>
            </w:r>
            <w:r w:rsidR="003B6D4B" w:rsidRPr="003B6D4B">
              <w:rPr>
                <w:rFonts w:ascii="Times New Roman" w:hAnsi="Times New Roman"/>
                <w:noProof/>
                <w:webHidden/>
                <w:sz w:val="24"/>
                <w:szCs w:val="24"/>
              </w:rPr>
              <w:fldChar w:fldCharType="end"/>
            </w:r>
          </w:hyperlink>
        </w:p>
        <w:p w14:paraId="13B16E97"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92" w:history="1">
            <w:r w:rsidR="003B6D4B" w:rsidRPr="003B6D4B">
              <w:rPr>
                <w:rStyle w:val="Hipervnculo"/>
                <w:rFonts w:ascii="Times New Roman" w:hAnsi="Times New Roman"/>
                <w:noProof/>
                <w:sz w:val="24"/>
                <w:szCs w:val="24"/>
              </w:rPr>
              <w:t>NOTA 28. INGRESOS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_Toc32317292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84</w:t>
            </w:r>
            <w:r w:rsidR="003B6D4B" w:rsidRPr="003B6D4B">
              <w:rPr>
                <w:rFonts w:ascii="Times New Roman" w:hAnsi="Times New Roman"/>
                <w:noProof/>
                <w:webHidden/>
                <w:sz w:val="24"/>
                <w:szCs w:val="24"/>
              </w:rPr>
              <w:fldChar w:fldCharType="end"/>
            </w:r>
          </w:hyperlink>
        </w:p>
        <w:p w14:paraId="18EC59B2" w14:textId="77777777" w:rsidR="003B6D4B" w:rsidRPr="003B6D4B" w:rsidRDefault="00D80027">
          <w:pPr>
            <w:pStyle w:val="TDC2"/>
            <w:tabs>
              <w:tab w:val="right" w:leader="dot" w:pos="9111"/>
            </w:tabs>
            <w:rPr>
              <w:rFonts w:ascii="Times New Roman" w:hAnsi="Times New Roman"/>
              <w:noProof/>
              <w:sz w:val="24"/>
              <w:szCs w:val="24"/>
            </w:rPr>
          </w:pPr>
          <w:hyperlink w:anchor="_Toc32317293"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_Toc32317293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84</w:t>
            </w:r>
            <w:r w:rsidR="003B6D4B" w:rsidRPr="003B6D4B">
              <w:rPr>
                <w:rFonts w:ascii="Times New Roman" w:hAnsi="Times New Roman"/>
                <w:noProof/>
                <w:webHidden/>
                <w:sz w:val="24"/>
                <w:szCs w:val="24"/>
              </w:rPr>
              <w:fldChar w:fldCharType="end"/>
            </w:r>
          </w:hyperlink>
        </w:p>
        <w:p w14:paraId="3E39B60A"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94" w:history="1">
            <w:r w:rsidR="003B6D4B" w:rsidRPr="003B6D4B">
              <w:rPr>
                <w:rStyle w:val="Hipervnculo"/>
                <w:rFonts w:ascii="Times New Roman" w:hAnsi="Times New Roman"/>
                <w:noProof/>
                <w:sz w:val="24"/>
                <w:szCs w:val="24"/>
              </w:rPr>
              <w:t>28.1.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Ingresos de transacciones sin contraprestación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_Toc32317294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84</w:t>
            </w:r>
            <w:r w:rsidR="003B6D4B" w:rsidRPr="003B6D4B">
              <w:rPr>
                <w:rFonts w:ascii="Times New Roman" w:hAnsi="Times New Roman"/>
                <w:noProof/>
                <w:webHidden/>
                <w:sz w:val="24"/>
                <w:szCs w:val="24"/>
              </w:rPr>
              <w:fldChar w:fldCharType="end"/>
            </w:r>
          </w:hyperlink>
        </w:p>
        <w:p w14:paraId="47097633"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295" w:history="1">
            <w:r w:rsidR="003B6D4B" w:rsidRPr="003B6D4B">
              <w:rPr>
                <w:rStyle w:val="Hipervnculo"/>
                <w:rFonts w:ascii="Times New Roman" w:hAnsi="Times New Roman"/>
                <w:noProof/>
                <w:sz w:val="24"/>
                <w:szCs w:val="24"/>
              </w:rPr>
              <w:t>NOTA 29. GASTOS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_Toc32317295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86</w:t>
            </w:r>
            <w:r w:rsidR="003B6D4B" w:rsidRPr="003B6D4B">
              <w:rPr>
                <w:rFonts w:ascii="Times New Roman" w:hAnsi="Times New Roman"/>
                <w:noProof/>
                <w:webHidden/>
                <w:sz w:val="24"/>
                <w:szCs w:val="24"/>
              </w:rPr>
              <w:fldChar w:fldCharType="end"/>
            </w:r>
          </w:hyperlink>
        </w:p>
        <w:p w14:paraId="510850D4" w14:textId="77777777" w:rsidR="003B6D4B" w:rsidRPr="003B6D4B" w:rsidRDefault="00D80027">
          <w:pPr>
            <w:pStyle w:val="TDC2"/>
            <w:tabs>
              <w:tab w:val="right" w:leader="dot" w:pos="9111"/>
            </w:tabs>
            <w:rPr>
              <w:rFonts w:ascii="Times New Roman" w:hAnsi="Times New Roman"/>
              <w:noProof/>
              <w:sz w:val="24"/>
              <w:szCs w:val="24"/>
            </w:rPr>
          </w:pPr>
          <w:hyperlink w:anchor="_Toc32317296" w:history="1">
            <w:r w:rsidR="003B6D4B" w:rsidRPr="003B6D4B">
              <w:rPr>
                <w:rStyle w:val="Hipervnculo"/>
                <w:rFonts w:ascii="Times New Roman" w:hAnsi="Times New Roman"/>
                <w:noProof/>
                <w:sz w:val="24"/>
                <w:szCs w:val="24"/>
              </w:rPr>
              <w:t>Composición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_Toc32317296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86</w:t>
            </w:r>
            <w:r w:rsidR="003B6D4B" w:rsidRPr="003B6D4B">
              <w:rPr>
                <w:rFonts w:ascii="Times New Roman" w:hAnsi="Times New Roman"/>
                <w:noProof/>
                <w:webHidden/>
                <w:sz w:val="24"/>
                <w:szCs w:val="24"/>
              </w:rPr>
              <w:fldChar w:fldCharType="end"/>
            </w:r>
          </w:hyperlink>
        </w:p>
        <w:p w14:paraId="4711A7BD"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97" w:history="1">
            <w:r w:rsidR="003B6D4B" w:rsidRPr="003B6D4B">
              <w:rPr>
                <w:rStyle w:val="Hipervnculo"/>
                <w:rFonts w:ascii="Times New Roman" w:hAnsi="Times New Roman"/>
                <w:noProof/>
                <w:sz w:val="24"/>
                <w:szCs w:val="24"/>
              </w:rPr>
              <w:t>29.1.</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Gastos de administración y de operación</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_Toc32317297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86</w:t>
            </w:r>
            <w:r w:rsidR="003B6D4B" w:rsidRPr="003B6D4B">
              <w:rPr>
                <w:rFonts w:ascii="Times New Roman" w:hAnsi="Times New Roman"/>
                <w:noProof/>
                <w:webHidden/>
                <w:sz w:val="24"/>
                <w:szCs w:val="24"/>
              </w:rPr>
              <w:fldChar w:fldCharType="end"/>
            </w:r>
          </w:hyperlink>
        </w:p>
        <w:p w14:paraId="0B5CC585"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98" w:history="1">
            <w:r w:rsidR="003B6D4B" w:rsidRPr="003B6D4B">
              <w:rPr>
                <w:rStyle w:val="Hipervnculo"/>
                <w:rFonts w:ascii="Times New Roman" w:hAnsi="Times New Roman"/>
                <w:noProof/>
                <w:sz w:val="24"/>
                <w:szCs w:val="24"/>
              </w:rPr>
              <w:t>29.2.</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Deterioro, depreciaciones, amortizaciones y provisiones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_Toc32317298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88</w:t>
            </w:r>
            <w:r w:rsidR="003B6D4B" w:rsidRPr="003B6D4B">
              <w:rPr>
                <w:rFonts w:ascii="Times New Roman" w:hAnsi="Times New Roman"/>
                <w:noProof/>
                <w:webHidden/>
                <w:sz w:val="24"/>
                <w:szCs w:val="24"/>
              </w:rPr>
              <w:fldChar w:fldCharType="end"/>
            </w:r>
          </w:hyperlink>
        </w:p>
        <w:p w14:paraId="01123A37"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299" w:history="1">
            <w:r w:rsidR="003B6D4B" w:rsidRPr="003B6D4B">
              <w:rPr>
                <w:rStyle w:val="Hipervnculo"/>
                <w:rFonts w:ascii="Times New Roman" w:hAnsi="Times New Roman"/>
                <w:noProof/>
                <w:sz w:val="24"/>
                <w:szCs w:val="24"/>
              </w:rPr>
              <w:t>29.3.</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Gastos por provisiones de litigios y demandas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_Toc32317299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89</w:t>
            </w:r>
            <w:r w:rsidR="003B6D4B" w:rsidRPr="003B6D4B">
              <w:rPr>
                <w:rFonts w:ascii="Times New Roman" w:hAnsi="Times New Roman"/>
                <w:noProof/>
                <w:webHidden/>
                <w:sz w:val="24"/>
                <w:szCs w:val="24"/>
              </w:rPr>
              <w:fldChar w:fldCharType="end"/>
            </w:r>
          </w:hyperlink>
        </w:p>
        <w:p w14:paraId="334FFA9E" w14:textId="77777777" w:rsidR="003B6D4B" w:rsidRPr="003B6D4B" w:rsidRDefault="00D80027">
          <w:pPr>
            <w:pStyle w:val="TDC2"/>
            <w:tabs>
              <w:tab w:val="left" w:pos="1100"/>
              <w:tab w:val="right" w:leader="dot" w:pos="9111"/>
            </w:tabs>
            <w:rPr>
              <w:rFonts w:ascii="Times New Roman" w:hAnsi="Times New Roman"/>
              <w:noProof/>
              <w:sz w:val="24"/>
              <w:szCs w:val="24"/>
            </w:rPr>
          </w:pPr>
          <w:hyperlink w:anchor="_Toc32317300" w:history="1">
            <w:r w:rsidR="003B6D4B" w:rsidRPr="003B6D4B">
              <w:rPr>
                <w:rStyle w:val="Hipervnculo"/>
                <w:rFonts w:ascii="Times New Roman" w:hAnsi="Times New Roman"/>
                <w:noProof/>
                <w:sz w:val="24"/>
                <w:szCs w:val="24"/>
              </w:rPr>
              <w:t>29.4.</w:t>
            </w:r>
            <w:r w:rsidR="003B6D4B" w:rsidRPr="003B6D4B">
              <w:rPr>
                <w:rFonts w:ascii="Times New Roman" w:hAnsi="Times New Roman"/>
                <w:noProof/>
                <w:sz w:val="24"/>
                <w:szCs w:val="24"/>
              </w:rPr>
              <w:tab/>
            </w:r>
            <w:r w:rsidR="003B6D4B" w:rsidRPr="003B6D4B">
              <w:rPr>
                <w:rStyle w:val="Hipervnculo"/>
                <w:rFonts w:ascii="Times New Roman" w:hAnsi="Times New Roman"/>
                <w:noProof/>
                <w:sz w:val="24"/>
                <w:szCs w:val="24"/>
              </w:rPr>
              <w:t>Pérdida en baja de activos</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_Toc32317300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89</w:t>
            </w:r>
            <w:r w:rsidR="003B6D4B" w:rsidRPr="003B6D4B">
              <w:rPr>
                <w:rFonts w:ascii="Times New Roman" w:hAnsi="Times New Roman"/>
                <w:noProof/>
                <w:webHidden/>
                <w:sz w:val="24"/>
                <w:szCs w:val="24"/>
              </w:rPr>
              <w:fldChar w:fldCharType="end"/>
            </w:r>
          </w:hyperlink>
        </w:p>
        <w:p w14:paraId="1E4E4071" w14:textId="77777777" w:rsidR="003B6D4B" w:rsidRPr="003B6D4B" w:rsidRDefault="00D80027">
          <w:pPr>
            <w:pStyle w:val="TDC1"/>
            <w:tabs>
              <w:tab w:val="right" w:leader="dot" w:pos="9111"/>
            </w:tabs>
            <w:rPr>
              <w:rFonts w:ascii="Times New Roman" w:eastAsiaTheme="minorEastAsia" w:hAnsi="Times New Roman"/>
              <w:noProof/>
              <w:sz w:val="24"/>
              <w:szCs w:val="24"/>
              <w:lang w:eastAsia="es-CO"/>
            </w:rPr>
          </w:pPr>
          <w:hyperlink w:anchor="_Toc32317301" w:history="1">
            <w:r w:rsidR="003B6D4B" w:rsidRPr="003B6D4B">
              <w:rPr>
                <w:rStyle w:val="Hipervnculo"/>
                <w:rFonts w:ascii="Times New Roman" w:hAnsi="Times New Roman"/>
                <w:noProof/>
                <w:sz w:val="24"/>
                <w:szCs w:val="24"/>
              </w:rPr>
              <w:t>NOTA 37. REVELACIONES SOBRE EL ESTADO DE FLUJO DE EFECTIVO</w:t>
            </w:r>
            <w:r w:rsidR="003B6D4B" w:rsidRPr="003B6D4B">
              <w:rPr>
                <w:rFonts w:ascii="Times New Roman" w:hAnsi="Times New Roman"/>
                <w:noProof/>
                <w:webHidden/>
                <w:sz w:val="24"/>
                <w:szCs w:val="24"/>
              </w:rPr>
              <w:tab/>
            </w:r>
            <w:r w:rsidR="003B6D4B" w:rsidRPr="003B6D4B">
              <w:rPr>
                <w:rFonts w:ascii="Times New Roman" w:hAnsi="Times New Roman"/>
                <w:noProof/>
                <w:webHidden/>
                <w:sz w:val="24"/>
                <w:szCs w:val="24"/>
              </w:rPr>
              <w:fldChar w:fldCharType="begin"/>
            </w:r>
            <w:r w:rsidR="003B6D4B" w:rsidRPr="003B6D4B">
              <w:rPr>
                <w:rFonts w:ascii="Times New Roman" w:hAnsi="Times New Roman"/>
                <w:noProof/>
                <w:webHidden/>
                <w:sz w:val="24"/>
                <w:szCs w:val="24"/>
              </w:rPr>
              <w:instrText xml:space="preserve"> PAGEREF _Toc32317301 \h </w:instrText>
            </w:r>
            <w:r w:rsidR="003B6D4B" w:rsidRPr="003B6D4B">
              <w:rPr>
                <w:rFonts w:ascii="Times New Roman" w:hAnsi="Times New Roman"/>
                <w:noProof/>
                <w:webHidden/>
                <w:sz w:val="24"/>
                <w:szCs w:val="24"/>
              </w:rPr>
            </w:r>
            <w:r w:rsidR="003B6D4B" w:rsidRPr="003B6D4B">
              <w:rPr>
                <w:rFonts w:ascii="Times New Roman" w:hAnsi="Times New Roman"/>
                <w:noProof/>
                <w:webHidden/>
                <w:sz w:val="24"/>
                <w:szCs w:val="24"/>
              </w:rPr>
              <w:fldChar w:fldCharType="separate"/>
            </w:r>
            <w:r w:rsidR="00E00304">
              <w:rPr>
                <w:rFonts w:ascii="Times New Roman" w:hAnsi="Times New Roman"/>
                <w:noProof/>
                <w:webHidden/>
                <w:sz w:val="24"/>
                <w:szCs w:val="24"/>
              </w:rPr>
              <w:t>90</w:t>
            </w:r>
            <w:r w:rsidR="003B6D4B" w:rsidRPr="003B6D4B">
              <w:rPr>
                <w:rFonts w:ascii="Times New Roman" w:hAnsi="Times New Roman"/>
                <w:noProof/>
                <w:webHidden/>
                <w:sz w:val="24"/>
                <w:szCs w:val="24"/>
              </w:rPr>
              <w:fldChar w:fldCharType="end"/>
            </w:r>
          </w:hyperlink>
        </w:p>
        <w:p w14:paraId="57DC67D3" w14:textId="7B61996B" w:rsidR="00CA0525" w:rsidRPr="003B6D4B" w:rsidRDefault="00CA0525" w:rsidP="00AB4D08">
          <w:pPr>
            <w:spacing w:line="240" w:lineRule="auto"/>
            <w:contextualSpacing/>
            <w:rPr>
              <w:rFonts w:ascii="Times New Roman" w:hAnsi="Times New Roman"/>
              <w:sz w:val="24"/>
              <w:szCs w:val="24"/>
            </w:rPr>
          </w:pPr>
          <w:r w:rsidRPr="003B6D4B">
            <w:rPr>
              <w:rFonts w:ascii="Times New Roman" w:hAnsi="Times New Roman"/>
              <w:b/>
              <w:bCs/>
              <w:sz w:val="24"/>
              <w:szCs w:val="24"/>
              <w:lang w:val="es-ES"/>
            </w:rPr>
            <w:fldChar w:fldCharType="end"/>
          </w:r>
        </w:p>
      </w:sdtContent>
    </w:sdt>
    <w:p w14:paraId="748B2A51" w14:textId="0A01B08A" w:rsidR="00B72E43" w:rsidRPr="003B6D4B" w:rsidRDefault="00B72E43" w:rsidP="00AB4D08">
      <w:pPr>
        <w:spacing w:after="0" w:line="240" w:lineRule="auto"/>
        <w:contextualSpacing/>
        <w:rPr>
          <w:rFonts w:ascii="Times New Roman" w:hAnsi="Times New Roman"/>
          <w:sz w:val="24"/>
          <w:szCs w:val="24"/>
        </w:rPr>
      </w:pPr>
      <w:r w:rsidRPr="003B6D4B">
        <w:rPr>
          <w:rFonts w:ascii="Times New Roman" w:hAnsi="Times New Roman"/>
          <w:b/>
          <w:sz w:val="24"/>
          <w:szCs w:val="24"/>
        </w:rPr>
        <w:br w:type="page"/>
      </w:r>
    </w:p>
    <w:p w14:paraId="667C16A8" w14:textId="65F66BCC" w:rsidR="007A1C17" w:rsidRPr="001F4D21" w:rsidRDefault="007A1C17" w:rsidP="00AB4D08">
      <w:pPr>
        <w:pStyle w:val="Ttulo1"/>
        <w:contextualSpacing/>
        <w:rPr>
          <w:rFonts w:cs="Times New Roman"/>
          <w:sz w:val="24"/>
          <w:szCs w:val="24"/>
        </w:rPr>
      </w:pPr>
      <w:bookmarkStart w:id="0" w:name="_Toc32317223"/>
      <w:r w:rsidRPr="00F41422">
        <w:rPr>
          <w:rFonts w:cs="Times New Roman"/>
          <w:sz w:val="24"/>
          <w:szCs w:val="24"/>
        </w:rPr>
        <w:lastRenderedPageBreak/>
        <w:t>N</w:t>
      </w:r>
      <w:r w:rsidRPr="001F4D21">
        <w:rPr>
          <w:rFonts w:cs="Times New Roman"/>
          <w:sz w:val="24"/>
          <w:szCs w:val="24"/>
        </w:rPr>
        <w:t>OTA 1. ENTIDAD REPORTANTE</w:t>
      </w:r>
      <w:bookmarkEnd w:id="0"/>
    </w:p>
    <w:p w14:paraId="417E125C" w14:textId="77777777" w:rsidR="00BB7BD6" w:rsidRPr="001F4D21" w:rsidRDefault="00BB7BD6" w:rsidP="00AB4D08">
      <w:pPr>
        <w:spacing w:after="0" w:line="240" w:lineRule="auto"/>
        <w:contextualSpacing/>
        <w:jc w:val="both"/>
        <w:rPr>
          <w:rFonts w:ascii="Times New Roman" w:hAnsi="Times New Roman"/>
          <w:sz w:val="24"/>
          <w:szCs w:val="24"/>
        </w:rPr>
      </w:pPr>
    </w:p>
    <w:p w14:paraId="61E58D90" w14:textId="169D0BA9" w:rsidR="000A24FA" w:rsidRPr="001F4D21" w:rsidRDefault="00F717BA" w:rsidP="00AB4D08">
      <w:pPr>
        <w:pStyle w:val="Ttulo2"/>
        <w:numPr>
          <w:ilvl w:val="1"/>
          <w:numId w:val="20"/>
        </w:numPr>
        <w:spacing w:line="240" w:lineRule="auto"/>
        <w:ind w:left="567" w:hanging="567"/>
        <w:contextualSpacing/>
        <w:rPr>
          <w:rFonts w:cs="Times New Roman"/>
          <w:szCs w:val="24"/>
        </w:rPr>
      </w:pPr>
      <w:bookmarkStart w:id="1" w:name="_Toc32317224"/>
      <w:r w:rsidRPr="001F4D21">
        <w:rPr>
          <w:rFonts w:cs="Times New Roman"/>
          <w:szCs w:val="24"/>
        </w:rPr>
        <w:t>Identificación y funciones</w:t>
      </w:r>
      <w:bookmarkEnd w:id="1"/>
    </w:p>
    <w:p w14:paraId="1E232A73" w14:textId="77777777" w:rsidR="000A24FA" w:rsidRPr="001F4D21" w:rsidRDefault="000A24FA" w:rsidP="00AB4D08">
      <w:pPr>
        <w:pStyle w:val="Prrafodelista"/>
        <w:spacing w:after="0" w:line="240" w:lineRule="auto"/>
        <w:ind w:left="567"/>
        <w:jc w:val="both"/>
        <w:rPr>
          <w:rFonts w:ascii="Times New Roman" w:hAnsi="Times New Roman"/>
          <w:sz w:val="24"/>
          <w:szCs w:val="24"/>
        </w:rPr>
      </w:pPr>
    </w:p>
    <w:p w14:paraId="2789533C" w14:textId="77777777" w:rsidR="00E87544" w:rsidRDefault="00E87544" w:rsidP="00AB4D08">
      <w:pPr>
        <w:spacing w:after="0" w:line="240" w:lineRule="auto"/>
        <w:ind w:left="567"/>
        <w:contextualSpacing/>
        <w:jc w:val="both"/>
        <w:rPr>
          <w:rFonts w:ascii="Times New Roman" w:eastAsia="Times New Roman" w:hAnsi="Times New Roman"/>
          <w:color w:val="000000"/>
          <w:sz w:val="24"/>
          <w:szCs w:val="24"/>
          <w:lang w:eastAsia="es-CO"/>
        </w:rPr>
      </w:pPr>
      <w:r w:rsidRPr="001B77B0">
        <w:rPr>
          <w:rFonts w:ascii="Times New Roman" w:eastAsia="Times New Roman" w:hAnsi="Times New Roman"/>
          <w:color w:val="000000"/>
          <w:sz w:val="24"/>
          <w:szCs w:val="24"/>
          <w:lang w:eastAsia="es-CO"/>
        </w:rPr>
        <w:t xml:space="preserve">El Instituto de Desarrollo Urbano -IDU- fue creado mediante el Acuerdo 19 de 1972 del Concejo de Bogotá D.C., </w:t>
      </w:r>
      <w:r>
        <w:rPr>
          <w:rFonts w:ascii="Times New Roman" w:eastAsia="Times New Roman" w:hAnsi="Times New Roman"/>
          <w:color w:val="000000"/>
          <w:sz w:val="24"/>
          <w:szCs w:val="24"/>
          <w:lang w:eastAsia="es-CO"/>
        </w:rPr>
        <w:t xml:space="preserve">como </w:t>
      </w:r>
      <w:r w:rsidRPr="001B77B0">
        <w:rPr>
          <w:rFonts w:ascii="Times New Roman" w:eastAsia="Times New Roman" w:hAnsi="Times New Roman"/>
          <w:color w:val="000000"/>
          <w:sz w:val="24"/>
          <w:szCs w:val="24"/>
          <w:lang w:eastAsia="es-CO"/>
        </w:rPr>
        <w:t xml:space="preserve">establecimiento público, con personería jurídica, autonomía administrativa y patrimonio independiente, </w:t>
      </w:r>
      <w:r>
        <w:rPr>
          <w:rFonts w:ascii="Times New Roman" w:eastAsia="Times New Roman" w:hAnsi="Times New Roman"/>
          <w:color w:val="000000"/>
          <w:sz w:val="24"/>
          <w:szCs w:val="24"/>
          <w:lang w:eastAsia="es-CO"/>
        </w:rPr>
        <w:t xml:space="preserve">con domicilio en </w:t>
      </w:r>
      <w:r w:rsidRPr="001B77B0">
        <w:rPr>
          <w:rFonts w:ascii="Times New Roman" w:eastAsia="Times New Roman" w:hAnsi="Times New Roman"/>
          <w:color w:val="000000"/>
          <w:sz w:val="24"/>
          <w:szCs w:val="24"/>
          <w:lang w:eastAsia="es-CO"/>
        </w:rPr>
        <w:t xml:space="preserve">la ciudad de Bogotá. </w:t>
      </w:r>
      <w:r>
        <w:rPr>
          <w:rFonts w:ascii="Times New Roman" w:eastAsia="Times New Roman" w:hAnsi="Times New Roman"/>
          <w:color w:val="000000"/>
          <w:sz w:val="24"/>
          <w:szCs w:val="24"/>
          <w:lang w:eastAsia="es-CO"/>
        </w:rPr>
        <w:t>El Instituto atenderá la ejecución de obras públicas de desarrollo urbanístico ordenadas dentro del Plan General de Desarrollo y los planes y programas sectoriales, así como las operaciones necesarias para la distribución, asignación y cobro de las contribuciones de valorización y pavimentación.</w:t>
      </w:r>
    </w:p>
    <w:p w14:paraId="5A4AE78F" w14:textId="77777777" w:rsidR="00E87544" w:rsidRDefault="00E87544" w:rsidP="00AB4D08">
      <w:pPr>
        <w:spacing w:after="0" w:line="240" w:lineRule="auto"/>
        <w:ind w:left="567"/>
        <w:contextualSpacing/>
        <w:jc w:val="both"/>
        <w:rPr>
          <w:rFonts w:ascii="Times New Roman" w:eastAsia="Times New Roman" w:hAnsi="Times New Roman"/>
          <w:color w:val="000000"/>
          <w:sz w:val="24"/>
          <w:szCs w:val="24"/>
          <w:lang w:eastAsia="es-CO"/>
        </w:rPr>
      </w:pPr>
    </w:p>
    <w:p w14:paraId="06A243BA" w14:textId="77777777" w:rsidR="00E87544" w:rsidRDefault="00E87544" w:rsidP="00AB4D08">
      <w:pPr>
        <w:spacing w:after="0" w:line="240" w:lineRule="auto"/>
        <w:ind w:left="567"/>
        <w:contextualSpacing/>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El consejo directivo de la entidad, mediante  </w:t>
      </w:r>
      <w:r w:rsidRPr="001B77B0">
        <w:rPr>
          <w:rFonts w:ascii="Times New Roman" w:eastAsia="Times New Roman" w:hAnsi="Times New Roman"/>
          <w:color w:val="000000"/>
          <w:sz w:val="24"/>
          <w:szCs w:val="24"/>
          <w:lang w:eastAsia="es-CO"/>
        </w:rPr>
        <w:t>Acuerdo 001 de 2009</w:t>
      </w:r>
      <w:r>
        <w:rPr>
          <w:rFonts w:ascii="Times New Roman" w:eastAsia="Times New Roman" w:hAnsi="Times New Roman"/>
          <w:color w:val="000000"/>
          <w:sz w:val="24"/>
          <w:szCs w:val="24"/>
          <w:lang w:eastAsia="es-CO"/>
        </w:rPr>
        <w:t xml:space="preserve">, expide los estatutos del Instituto de Desarrollo Urbano, que regirán el funcionamiento de la entidad. </w:t>
      </w:r>
    </w:p>
    <w:p w14:paraId="1A0CE3D4" w14:textId="77777777" w:rsidR="00E87544" w:rsidRDefault="00E87544" w:rsidP="00AB4D08">
      <w:pPr>
        <w:spacing w:after="0" w:line="240" w:lineRule="auto"/>
        <w:ind w:left="567"/>
        <w:contextualSpacing/>
        <w:jc w:val="both"/>
        <w:rPr>
          <w:rFonts w:ascii="Times New Roman" w:eastAsia="Times New Roman" w:hAnsi="Times New Roman"/>
          <w:color w:val="000000"/>
          <w:sz w:val="24"/>
          <w:szCs w:val="24"/>
          <w:lang w:eastAsia="es-CO"/>
        </w:rPr>
      </w:pPr>
    </w:p>
    <w:p w14:paraId="7B8D0AC3" w14:textId="77777777" w:rsidR="00E87544" w:rsidRPr="001B77B0" w:rsidRDefault="00E87544" w:rsidP="00AB4D08">
      <w:pPr>
        <w:spacing w:after="0" w:line="240" w:lineRule="auto"/>
        <w:ind w:left="567"/>
        <w:contextualSpacing/>
        <w:jc w:val="both"/>
        <w:rPr>
          <w:rFonts w:ascii="Arial" w:eastAsia="Times New Roman" w:hAnsi="Arial" w:cs="Arial"/>
          <w:color w:val="000000"/>
          <w:sz w:val="18"/>
          <w:szCs w:val="18"/>
          <w:lang w:eastAsia="es-CO"/>
        </w:rPr>
      </w:pPr>
      <w:r>
        <w:rPr>
          <w:rFonts w:ascii="Times New Roman" w:eastAsia="Times New Roman" w:hAnsi="Times New Roman"/>
          <w:color w:val="000000"/>
          <w:sz w:val="24"/>
          <w:szCs w:val="24"/>
          <w:lang w:eastAsia="es-CO"/>
        </w:rPr>
        <w:t xml:space="preserve">El Instituto tiene por objeto atender en el ámbito de sus competencias la ejecución integral y el mantenimiento de los proyectos de infraestructura de los sistemas de movilidad y de espacio público </w:t>
      </w:r>
      <w:r w:rsidRPr="001B77B0">
        <w:rPr>
          <w:rFonts w:ascii="Times New Roman" w:eastAsia="Times New Roman" w:hAnsi="Times New Roman"/>
          <w:color w:val="000000"/>
          <w:sz w:val="24"/>
          <w:szCs w:val="24"/>
          <w:lang w:eastAsia="es-CO"/>
        </w:rPr>
        <w:t>construidos en el Distrito Capital, contemplados dentro del Plan de ordenamiento Territorial, el Plan de Desarrollo Económico y Social y de Obras Públicas del Distrito Capital y los planes y programas sectoriales, así como de las operaciones necesarias para la distribución, asignación y cobro de las contribuciones de valorización</w:t>
      </w:r>
      <w:r>
        <w:rPr>
          <w:rFonts w:ascii="Times New Roman" w:eastAsia="Times New Roman" w:hAnsi="Times New Roman"/>
          <w:color w:val="000000"/>
          <w:sz w:val="24"/>
          <w:szCs w:val="24"/>
          <w:lang w:eastAsia="es-CO"/>
        </w:rPr>
        <w:t xml:space="preserve"> y de pavimentación</w:t>
      </w:r>
      <w:r w:rsidRPr="001B77B0">
        <w:rPr>
          <w:rFonts w:ascii="Times New Roman" w:eastAsia="Times New Roman" w:hAnsi="Times New Roman"/>
          <w:color w:val="000000"/>
          <w:sz w:val="24"/>
          <w:szCs w:val="24"/>
          <w:lang w:eastAsia="es-CO"/>
        </w:rPr>
        <w:t>.</w:t>
      </w:r>
    </w:p>
    <w:p w14:paraId="6CE2D75E" w14:textId="77777777" w:rsidR="00E87544" w:rsidRPr="001B77B0" w:rsidRDefault="00E87544" w:rsidP="00AB4D08">
      <w:pPr>
        <w:spacing w:after="0" w:line="240" w:lineRule="auto"/>
        <w:ind w:left="567"/>
        <w:contextualSpacing/>
        <w:jc w:val="both"/>
        <w:rPr>
          <w:rFonts w:ascii="Arial" w:eastAsia="Times New Roman" w:hAnsi="Arial" w:cs="Arial"/>
          <w:color w:val="000000"/>
          <w:sz w:val="18"/>
          <w:szCs w:val="18"/>
          <w:lang w:eastAsia="es-CO"/>
        </w:rPr>
      </w:pPr>
    </w:p>
    <w:p w14:paraId="556D2D27" w14:textId="77777777" w:rsidR="00E87544" w:rsidRPr="001B77B0" w:rsidRDefault="00E87544" w:rsidP="00AB4D08">
      <w:pPr>
        <w:spacing w:after="0" w:line="240" w:lineRule="auto"/>
        <w:ind w:left="567"/>
        <w:contextualSpacing/>
        <w:jc w:val="both"/>
        <w:rPr>
          <w:rFonts w:ascii="Arial" w:eastAsia="Times New Roman" w:hAnsi="Arial" w:cs="Arial"/>
          <w:color w:val="000000"/>
          <w:sz w:val="18"/>
          <w:szCs w:val="18"/>
          <w:lang w:eastAsia="es-CO"/>
        </w:rPr>
      </w:pPr>
      <w:r w:rsidRPr="001B77B0">
        <w:rPr>
          <w:rFonts w:ascii="Times New Roman" w:eastAsia="Times New Roman" w:hAnsi="Times New Roman"/>
          <w:color w:val="000000"/>
          <w:sz w:val="24"/>
          <w:szCs w:val="24"/>
          <w:lang w:eastAsia="es-CO"/>
        </w:rPr>
        <w:t>La gestión del IDU, se sintetiza en tres líneas principales: La gestión de infraestructura para la movilidad, la gestión del recaudo y la atención al ciudadano.</w:t>
      </w:r>
    </w:p>
    <w:p w14:paraId="586A22AF" w14:textId="77777777" w:rsidR="00E87544" w:rsidRPr="001B77B0" w:rsidRDefault="00E87544" w:rsidP="00AB4D08">
      <w:pPr>
        <w:spacing w:after="0" w:line="240" w:lineRule="auto"/>
        <w:ind w:left="567"/>
        <w:contextualSpacing/>
        <w:jc w:val="both"/>
        <w:rPr>
          <w:rFonts w:ascii="Arial" w:eastAsia="Times New Roman" w:hAnsi="Arial" w:cs="Arial"/>
          <w:color w:val="000000"/>
          <w:sz w:val="18"/>
          <w:szCs w:val="18"/>
          <w:lang w:eastAsia="es-CO"/>
        </w:rPr>
      </w:pPr>
    </w:p>
    <w:p w14:paraId="7AC17487" w14:textId="77777777" w:rsidR="00E87544" w:rsidRDefault="00E87544" w:rsidP="00AB4D08">
      <w:pPr>
        <w:spacing w:after="0" w:line="240" w:lineRule="auto"/>
        <w:ind w:left="567"/>
        <w:contextualSpacing/>
        <w:jc w:val="both"/>
        <w:rPr>
          <w:rFonts w:ascii="Times New Roman" w:eastAsia="Times New Roman" w:hAnsi="Times New Roman"/>
          <w:color w:val="000000"/>
          <w:sz w:val="24"/>
          <w:szCs w:val="24"/>
          <w:lang w:eastAsia="es-CO"/>
        </w:rPr>
      </w:pPr>
      <w:r w:rsidRPr="001B77B0">
        <w:rPr>
          <w:rFonts w:ascii="Times New Roman" w:eastAsia="Times New Roman" w:hAnsi="Times New Roman"/>
          <w:color w:val="000000"/>
          <w:sz w:val="24"/>
          <w:szCs w:val="24"/>
          <w:lang w:eastAsia="es-CO"/>
        </w:rPr>
        <w:t>El principal objetivo del IDU es generar inclusión y desarrollo integral por medio de la estructuración de proyectos de infraestructura</w:t>
      </w:r>
      <w:r>
        <w:rPr>
          <w:rFonts w:ascii="Times New Roman" w:eastAsia="Times New Roman" w:hAnsi="Times New Roman"/>
          <w:color w:val="000000"/>
          <w:sz w:val="24"/>
          <w:szCs w:val="24"/>
          <w:lang w:eastAsia="es-CO"/>
        </w:rPr>
        <w:t>,</w:t>
      </w:r>
      <w:r w:rsidRPr="001B77B0">
        <w:rPr>
          <w:rFonts w:ascii="Times New Roman" w:eastAsia="Times New Roman" w:hAnsi="Times New Roman"/>
          <w:color w:val="000000"/>
          <w:sz w:val="24"/>
          <w:szCs w:val="24"/>
          <w:lang w:eastAsia="es-CO"/>
        </w:rPr>
        <w:t xml:space="preserve"> que permitan el mejoramiento de la calidad de vida de los ciudadanos.</w:t>
      </w:r>
    </w:p>
    <w:p w14:paraId="68A3702C" w14:textId="77777777" w:rsidR="00FC6E57" w:rsidRPr="001F4D21" w:rsidRDefault="00FC6E57" w:rsidP="00AB4D08">
      <w:pPr>
        <w:pStyle w:val="Prrafodelista"/>
        <w:spacing w:after="0" w:line="240" w:lineRule="auto"/>
        <w:ind w:left="360"/>
        <w:jc w:val="both"/>
        <w:rPr>
          <w:rFonts w:ascii="Times New Roman" w:hAnsi="Times New Roman"/>
          <w:sz w:val="24"/>
          <w:szCs w:val="24"/>
        </w:rPr>
      </w:pPr>
    </w:p>
    <w:p w14:paraId="7E1AE1D7" w14:textId="66E52DDF" w:rsidR="000A24FA" w:rsidRPr="001F4D21" w:rsidRDefault="00F717BA" w:rsidP="00AB4D08">
      <w:pPr>
        <w:pStyle w:val="Ttulo2"/>
        <w:numPr>
          <w:ilvl w:val="1"/>
          <w:numId w:val="20"/>
        </w:numPr>
        <w:spacing w:line="240" w:lineRule="auto"/>
        <w:ind w:left="567" w:hanging="567"/>
        <w:contextualSpacing/>
        <w:rPr>
          <w:rFonts w:cs="Times New Roman"/>
          <w:szCs w:val="24"/>
        </w:rPr>
      </w:pPr>
      <w:bookmarkStart w:id="2" w:name="_Toc32317225"/>
      <w:r w:rsidRPr="001F4D21">
        <w:rPr>
          <w:rFonts w:cs="Times New Roman"/>
          <w:szCs w:val="24"/>
        </w:rPr>
        <w:t>Declaración de cumplimiento del marco normativo y limitaciones</w:t>
      </w:r>
      <w:bookmarkEnd w:id="2"/>
    </w:p>
    <w:p w14:paraId="69B1D92B" w14:textId="77777777" w:rsidR="000A24FA" w:rsidRPr="001F4D21" w:rsidRDefault="000A24FA" w:rsidP="00AB4D08">
      <w:pPr>
        <w:pStyle w:val="Prrafodelista"/>
        <w:spacing w:after="0" w:line="240" w:lineRule="auto"/>
        <w:ind w:left="567"/>
        <w:jc w:val="both"/>
        <w:rPr>
          <w:rFonts w:ascii="Times New Roman" w:hAnsi="Times New Roman"/>
          <w:sz w:val="24"/>
          <w:szCs w:val="24"/>
        </w:rPr>
      </w:pPr>
    </w:p>
    <w:p w14:paraId="25B202CA" w14:textId="77777777" w:rsidR="00E87544" w:rsidRPr="001B77B0" w:rsidRDefault="00E87544" w:rsidP="00AB4D08">
      <w:pPr>
        <w:pStyle w:val="Prrafodelista"/>
        <w:spacing w:after="0" w:line="240" w:lineRule="auto"/>
        <w:ind w:left="567"/>
        <w:jc w:val="both"/>
        <w:rPr>
          <w:rFonts w:ascii="Times New Roman" w:eastAsia="Times New Roman" w:hAnsi="Times New Roman"/>
          <w:color w:val="000000"/>
          <w:sz w:val="24"/>
          <w:szCs w:val="24"/>
          <w:lang w:eastAsia="es-CO"/>
        </w:rPr>
      </w:pPr>
      <w:r w:rsidRPr="001B77B0">
        <w:rPr>
          <w:rFonts w:ascii="Times New Roman" w:eastAsia="Times New Roman" w:hAnsi="Times New Roman"/>
          <w:color w:val="000000"/>
          <w:sz w:val="24"/>
          <w:szCs w:val="24"/>
          <w:lang w:eastAsia="es-CO"/>
        </w:rPr>
        <w:t>El Instituto de Desarrollo Urbano - IDU, genera la información financiera y contable, de acuerdo con lo establecido en la Resolución 533 de 2015, emitida por la Contaduría General de la Nación, por medio de la cual se incorpora, en el régimen de contabilidad pública, el marco aplicable a entidades de gobierno y se dictan otras disposiciones.  </w:t>
      </w:r>
    </w:p>
    <w:p w14:paraId="3B88CDD3" w14:textId="77777777" w:rsidR="00CB501A" w:rsidRPr="001F4D21" w:rsidRDefault="00CB501A" w:rsidP="00AB4D08">
      <w:pPr>
        <w:pStyle w:val="Prrafodelista"/>
        <w:spacing w:after="0" w:line="240" w:lineRule="auto"/>
        <w:rPr>
          <w:rFonts w:ascii="Times New Roman" w:hAnsi="Times New Roman"/>
          <w:sz w:val="24"/>
          <w:szCs w:val="24"/>
        </w:rPr>
      </w:pPr>
    </w:p>
    <w:p w14:paraId="71A12233" w14:textId="3F7B988F" w:rsidR="000A24FA" w:rsidRPr="001F4D21" w:rsidRDefault="00CB501A" w:rsidP="00AB4D08">
      <w:pPr>
        <w:pStyle w:val="Ttulo2"/>
        <w:numPr>
          <w:ilvl w:val="1"/>
          <w:numId w:val="20"/>
        </w:numPr>
        <w:spacing w:line="240" w:lineRule="auto"/>
        <w:ind w:left="567" w:hanging="567"/>
        <w:contextualSpacing/>
        <w:rPr>
          <w:rFonts w:cs="Times New Roman"/>
          <w:szCs w:val="24"/>
        </w:rPr>
      </w:pPr>
      <w:bookmarkStart w:id="3" w:name="_Toc32317226"/>
      <w:r w:rsidRPr="001F4D21">
        <w:rPr>
          <w:rFonts w:cs="Times New Roman"/>
          <w:szCs w:val="24"/>
        </w:rPr>
        <w:t>Base normativa y periodo cubierto</w:t>
      </w:r>
      <w:bookmarkEnd w:id="3"/>
    </w:p>
    <w:p w14:paraId="0ABE3ECB" w14:textId="77777777" w:rsidR="000A24FA" w:rsidRPr="001F4D21" w:rsidRDefault="000A24FA" w:rsidP="00AB4D08">
      <w:pPr>
        <w:pStyle w:val="Prrafodelista"/>
        <w:spacing w:after="0" w:line="240" w:lineRule="auto"/>
        <w:ind w:left="567"/>
        <w:jc w:val="both"/>
        <w:rPr>
          <w:rFonts w:ascii="Times New Roman" w:hAnsi="Times New Roman"/>
          <w:b/>
          <w:sz w:val="24"/>
          <w:szCs w:val="24"/>
        </w:rPr>
      </w:pPr>
    </w:p>
    <w:p w14:paraId="617A9E2E" w14:textId="77777777" w:rsidR="00E87544" w:rsidRPr="001B77B0" w:rsidRDefault="00E87544" w:rsidP="00AB4D08">
      <w:pPr>
        <w:pStyle w:val="Prrafodelista"/>
        <w:spacing w:after="0" w:line="240" w:lineRule="auto"/>
        <w:ind w:left="567"/>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En cumplimiento del marco normativo establecido en la Resolución 533 de 2015, l</w:t>
      </w:r>
      <w:r w:rsidRPr="001B77B0">
        <w:rPr>
          <w:rFonts w:ascii="Times New Roman" w:eastAsia="Times New Roman" w:hAnsi="Times New Roman"/>
          <w:color w:val="000000"/>
          <w:sz w:val="24"/>
          <w:szCs w:val="24"/>
          <w:lang w:eastAsia="es-CO"/>
        </w:rPr>
        <w:t xml:space="preserve">a entidad presenta </w:t>
      </w:r>
      <w:r>
        <w:rPr>
          <w:rFonts w:ascii="Times New Roman" w:eastAsia="Times New Roman" w:hAnsi="Times New Roman"/>
          <w:color w:val="000000"/>
          <w:sz w:val="24"/>
          <w:szCs w:val="24"/>
          <w:lang w:eastAsia="es-CO"/>
        </w:rPr>
        <w:t>anual</w:t>
      </w:r>
      <w:r w:rsidRPr="001B77B0">
        <w:rPr>
          <w:rFonts w:ascii="Times New Roman" w:eastAsia="Times New Roman" w:hAnsi="Times New Roman"/>
          <w:color w:val="000000"/>
          <w:sz w:val="24"/>
          <w:szCs w:val="24"/>
          <w:lang w:eastAsia="es-CO"/>
        </w:rPr>
        <w:t xml:space="preserve">mente </w:t>
      </w:r>
      <w:r>
        <w:rPr>
          <w:rFonts w:ascii="Times New Roman" w:eastAsia="Times New Roman" w:hAnsi="Times New Roman"/>
          <w:color w:val="000000"/>
          <w:sz w:val="24"/>
          <w:szCs w:val="24"/>
          <w:lang w:eastAsia="es-CO"/>
        </w:rPr>
        <w:t>los</w:t>
      </w:r>
      <w:r w:rsidRPr="001B77B0">
        <w:rPr>
          <w:rFonts w:ascii="Times New Roman" w:eastAsia="Times New Roman" w:hAnsi="Times New Roman"/>
          <w:color w:val="000000"/>
          <w:sz w:val="24"/>
          <w:szCs w:val="24"/>
          <w:lang w:eastAsia="es-CO"/>
        </w:rPr>
        <w:t xml:space="preserve"> </w:t>
      </w:r>
      <w:r>
        <w:rPr>
          <w:rFonts w:ascii="Times New Roman" w:eastAsia="Times New Roman" w:hAnsi="Times New Roman"/>
          <w:color w:val="000000"/>
          <w:sz w:val="24"/>
          <w:szCs w:val="24"/>
          <w:lang w:eastAsia="es-CO"/>
        </w:rPr>
        <w:t xml:space="preserve">siguientes </w:t>
      </w:r>
      <w:r w:rsidRPr="001B77B0">
        <w:rPr>
          <w:rFonts w:ascii="Times New Roman" w:eastAsia="Times New Roman" w:hAnsi="Times New Roman"/>
          <w:color w:val="000000"/>
          <w:sz w:val="24"/>
          <w:szCs w:val="24"/>
          <w:lang w:eastAsia="es-CO"/>
        </w:rPr>
        <w:t>estados financieros</w:t>
      </w:r>
      <w:r>
        <w:rPr>
          <w:rFonts w:ascii="Times New Roman" w:eastAsia="Times New Roman" w:hAnsi="Times New Roman"/>
          <w:color w:val="000000"/>
          <w:sz w:val="24"/>
          <w:szCs w:val="24"/>
          <w:lang w:eastAsia="es-CO"/>
        </w:rPr>
        <w:t xml:space="preserve">: </w:t>
      </w:r>
      <w:r w:rsidRPr="001B77B0">
        <w:rPr>
          <w:rFonts w:ascii="Times New Roman" w:eastAsia="Times New Roman" w:hAnsi="Times New Roman"/>
          <w:color w:val="000000"/>
          <w:sz w:val="24"/>
          <w:szCs w:val="24"/>
          <w:lang w:eastAsia="es-CO"/>
        </w:rPr>
        <w:t>Estado de Situación Financiera</w:t>
      </w:r>
      <w:r>
        <w:rPr>
          <w:rFonts w:ascii="Times New Roman" w:eastAsia="Times New Roman" w:hAnsi="Times New Roman"/>
          <w:color w:val="000000"/>
          <w:sz w:val="24"/>
          <w:szCs w:val="24"/>
          <w:lang w:eastAsia="es-CO"/>
        </w:rPr>
        <w:t xml:space="preserve">, </w:t>
      </w:r>
      <w:r w:rsidRPr="001B77B0">
        <w:rPr>
          <w:rFonts w:ascii="Times New Roman" w:eastAsia="Times New Roman" w:hAnsi="Times New Roman"/>
          <w:color w:val="000000"/>
          <w:sz w:val="24"/>
          <w:szCs w:val="24"/>
          <w:lang w:eastAsia="es-CO"/>
        </w:rPr>
        <w:t xml:space="preserve"> Estado de Resultados, Estado de Cambios en el Patrimonio, Estado de Flujo de Efectivo y las </w:t>
      </w:r>
      <w:r>
        <w:rPr>
          <w:rFonts w:ascii="Times New Roman" w:eastAsia="Times New Roman" w:hAnsi="Times New Roman"/>
          <w:color w:val="000000"/>
          <w:sz w:val="24"/>
          <w:szCs w:val="24"/>
          <w:lang w:eastAsia="es-CO"/>
        </w:rPr>
        <w:t>Notas</w:t>
      </w:r>
      <w:r w:rsidRPr="001B77B0">
        <w:rPr>
          <w:rFonts w:ascii="Times New Roman" w:eastAsia="Times New Roman" w:hAnsi="Times New Roman"/>
          <w:color w:val="000000"/>
          <w:sz w:val="24"/>
          <w:szCs w:val="24"/>
          <w:lang w:eastAsia="es-CO"/>
        </w:rPr>
        <w:t xml:space="preserve"> que acompañan los Estados Financieros.</w:t>
      </w:r>
    </w:p>
    <w:p w14:paraId="2CEFF996" w14:textId="77777777" w:rsidR="00841BEE" w:rsidRDefault="00841BEE" w:rsidP="00AB4D08">
      <w:pPr>
        <w:pStyle w:val="Prrafodelista"/>
        <w:spacing w:after="0" w:line="240" w:lineRule="auto"/>
        <w:ind w:left="567" w:firstLine="141"/>
        <w:rPr>
          <w:rFonts w:ascii="Times New Roman" w:hAnsi="Times New Roman"/>
          <w:b/>
          <w:sz w:val="24"/>
          <w:szCs w:val="24"/>
        </w:rPr>
      </w:pPr>
    </w:p>
    <w:p w14:paraId="3D2A0F31" w14:textId="77777777" w:rsidR="00F13981" w:rsidRPr="001F4D21" w:rsidRDefault="00F13981" w:rsidP="00AB4D08">
      <w:pPr>
        <w:pStyle w:val="Prrafodelista"/>
        <w:spacing w:after="0" w:line="240" w:lineRule="auto"/>
        <w:ind w:left="567" w:firstLine="141"/>
        <w:rPr>
          <w:rFonts w:ascii="Times New Roman" w:hAnsi="Times New Roman"/>
          <w:b/>
          <w:sz w:val="24"/>
          <w:szCs w:val="24"/>
        </w:rPr>
      </w:pPr>
    </w:p>
    <w:p w14:paraId="59460B72" w14:textId="673B09F2" w:rsidR="000A24FA" w:rsidRPr="001F4D21" w:rsidRDefault="00BB56C4" w:rsidP="00AB4D08">
      <w:pPr>
        <w:pStyle w:val="Ttulo2"/>
        <w:numPr>
          <w:ilvl w:val="1"/>
          <w:numId w:val="20"/>
        </w:numPr>
        <w:spacing w:line="240" w:lineRule="auto"/>
        <w:ind w:left="567" w:hanging="567"/>
        <w:contextualSpacing/>
        <w:rPr>
          <w:rFonts w:cs="Times New Roman"/>
          <w:szCs w:val="24"/>
        </w:rPr>
      </w:pPr>
      <w:bookmarkStart w:id="4" w:name="_Toc32317227"/>
      <w:r w:rsidRPr="001F4D21">
        <w:rPr>
          <w:rFonts w:cs="Times New Roman"/>
          <w:szCs w:val="24"/>
        </w:rPr>
        <w:lastRenderedPageBreak/>
        <w:t xml:space="preserve">Forma de Organización y/o </w:t>
      </w:r>
      <w:r w:rsidR="00EA5984" w:rsidRPr="001F4D21">
        <w:rPr>
          <w:rFonts w:cs="Times New Roman"/>
          <w:szCs w:val="24"/>
        </w:rPr>
        <w:t>Cobertura</w:t>
      </w:r>
      <w:bookmarkEnd w:id="4"/>
    </w:p>
    <w:p w14:paraId="570EA0C8" w14:textId="77777777" w:rsidR="000A24FA" w:rsidRPr="001F4D21" w:rsidRDefault="000A24FA" w:rsidP="00AB4D08">
      <w:pPr>
        <w:pStyle w:val="Prrafodelista"/>
        <w:spacing w:after="0" w:line="240" w:lineRule="auto"/>
        <w:ind w:left="567"/>
        <w:jc w:val="both"/>
        <w:rPr>
          <w:rFonts w:ascii="Times New Roman" w:hAnsi="Times New Roman"/>
          <w:b/>
          <w:sz w:val="24"/>
          <w:szCs w:val="24"/>
        </w:rPr>
      </w:pPr>
    </w:p>
    <w:p w14:paraId="5502FDA3" w14:textId="29A7707A" w:rsidR="00E87544" w:rsidRDefault="00E87544" w:rsidP="00AB4D08">
      <w:pPr>
        <w:pStyle w:val="Prrafodelista"/>
        <w:spacing w:after="0" w:line="240" w:lineRule="auto"/>
        <w:ind w:left="567"/>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En el marco de l</w:t>
      </w:r>
      <w:r w:rsidRPr="001B77B0">
        <w:rPr>
          <w:rFonts w:ascii="Times New Roman" w:eastAsia="Times New Roman" w:hAnsi="Times New Roman"/>
          <w:sz w:val="24"/>
          <w:szCs w:val="24"/>
          <w:lang w:eastAsia="es-CO"/>
        </w:rPr>
        <w:t xml:space="preserve">os estatutos establecidos </w:t>
      </w:r>
      <w:r>
        <w:rPr>
          <w:rFonts w:ascii="Times New Roman" w:eastAsia="Times New Roman" w:hAnsi="Times New Roman"/>
          <w:sz w:val="24"/>
          <w:szCs w:val="24"/>
          <w:lang w:eastAsia="es-CO"/>
        </w:rPr>
        <w:t xml:space="preserve">por el </w:t>
      </w:r>
      <w:r w:rsidR="0039061C">
        <w:rPr>
          <w:rFonts w:ascii="Times New Roman" w:eastAsia="Times New Roman" w:hAnsi="Times New Roman"/>
          <w:sz w:val="24"/>
          <w:szCs w:val="24"/>
          <w:lang w:eastAsia="es-CO"/>
        </w:rPr>
        <w:t>C</w:t>
      </w:r>
      <w:r>
        <w:rPr>
          <w:rFonts w:ascii="Times New Roman" w:eastAsia="Times New Roman" w:hAnsi="Times New Roman"/>
          <w:sz w:val="24"/>
          <w:szCs w:val="24"/>
          <w:lang w:eastAsia="es-CO"/>
        </w:rPr>
        <w:t xml:space="preserve">onsejo </w:t>
      </w:r>
      <w:r w:rsidR="0039061C">
        <w:rPr>
          <w:rFonts w:ascii="Times New Roman" w:eastAsia="Times New Roman" w:hAnsi="Times New Roman"/>
          <w:sz w:val="24"/>
          <w:szCs w:val="24"/>
          <w:lang w:eastAsia="es-CO"/>
        </w:rPr>
        <w:t>D</w:t>
      </w:r>
      <w:r>
        <w:rPr>
          <w:rFonts w:ascii="Times New Roman" w:eastAsia="Times New Roman" w:hAnsi="Times New Roman"/>
          <w:sz w:val="24"/>
          <w:szCs w:val="24"/>
          <w:lang w:eastAsia="es-CO"/>
        </w:rPr>
        <w:t xml:space="preserve">irectivo, </w:t>
      </w:r>
      <w:r w:rsidRPr="001B77B0">
        <w:rPr>
          <w:rFonts w:ascii="Times New Roman" w:eastAsia="Times New Roman" w:hAnsi="Times New Roman"/>
          <w:sz w:val="24"/>
          <w:szCs w:val="24"/>
          <w:lang w:eastAsia="es-CO"/>
        </w:rPr>
        <w:t xml:space="preserve">en el Acuerdo 001 de 2009, </w:t>
      </w:r>
      <w:r>
        <w:rPr>
          <w:rFonts w:ascii="Times New Roman" w:eastAsia="Times New Roman" w:hAnsi="Times New Roman"/>
          <w:sz w:val="24"/>
          <w:szCs w:val="24"/>
          <w:lang w:eastAsia="es-CO"/>
        </w:rPr>
        <w:t xml:space="preserve">el IDU </w:t>
      </w:r>
      <w:r w:rsidRPr="001B77B0">
        <w:rPr>
          <w:rFonts w:ascii="Times New Roman" w:eastAsia="Times New Roman" w:hAnsi="Times New Roman"/>
          <w:sz w:val="24"/>
          <w:szCs w:val="24"/>
          <w:lang w:eastAsia="es-CO"/>
        </w:rPr>
        <w:t>es un establecimiento público, con personería jurídica, autonomía administrativa y patrimonio independiente y sin dependientes que den lugar a presentar, agregar o consolidar información Financiera</w:t>
      </w:r>
      <w:r>
        <w:rPr>
          <w:rFonts w:ascii="Times New Roman" w:eastAsia="Times New Roman" w:hAnsi="Times New Roman"/>
          <w:sz w:val="24"/>
          <w:szCs w:val="24"/>
          <w:lang w:eastAsia="es-CO"/>
        </w:rPr>
        <w:t>.</w:t>
      </w:r>
    </w:p>
    <w:p w14:paraId="1195A817" w14:textId="77777777" w:rsidR="00F13981" w:rsidRDefault="00F13981" w:rsidP="00AB4D08">
      <w:pPr>
        <w:pStyle w:val="Prrafodelista"/>
        <w:spacing w:after="0" w:line="240" w:lineRule="auto"/>
        <w:ind w:left="567"/>
        <w:jc w:val="both"/>
        <w:rPr>
          <w:rFonts w:ascii="Times New Roman" w:eastAsia="Times New Roman" w:hAnsi="Times New Roman"/>
          <w:sz w:val="24"/>
          <w:szCs w:val="24"/>
          <w:lang w:eastAsia="es-CO"/>
        </w:rPr>
      </w:pPr>
    </w:p>
    <w:p w14:paraId="447E79A7" w14:textId="77777777" w:rsidR="001B77B0" w:rsidRDefault="001B77B0" w:rsidP="00AB4D08">
      <w:pPr>
        <w:pStyle w:val="Prrafodelista"/>
        <w:spacing w:after="0" w:line="240" w:lineRule="auto"/>
        <w:ind w:left="567"/>
        <w:jc w:val="both"/>
        <w:rPr>
          <w:rFonts w:ascii="Times New Roman" w:hAnsi="Times New Roman"/>
          <w:sz w:val="24"/>
          <w:szCs w:val="24"/>
        </w:rPr>
      </w:pPr>
    </w:p>
    <w:p w14:paraId="3FF05135" w14:textId="77777777" w:rsidR="00CB6A52" w:rsidRPr="001F4D21" w:rsidRDefault="00CB6A52" w:rsidP="00AB4D08">
      <w:pPr>
        <w:pStyle w:val="Ttulo1"/>
        <w:contextualSpacing/>
        <w:rPr>
          <w:rFonts w:cs="Times New Roman"/>
          <w:sz w:val="24"/>
          <w:szCs w:val="24"/>
        </w:rPr>
      </w:pPr>
      <w:bookmarkStart w:id="5" w:name="_Toc32317228"/>
      <w:r w:rsidRPr="001F4D21">
        <w:rPr>
          <w:rFonts w:cs="Times New Roman"/>
          <w:sz w:val="24"/>
          <w:szCs w:val="24"/>
        </w:rPr>
        <w:t xml:space="preserve">NOTA 2. BASES DE MEDICIÓN </w:t>
      </w:r>
      <w:r w:rsidR="00FC6E57" w:rsidRPr="001F4D21">
        <w:rPr>
          <w:rFonts w:cs="Times New Roman"/>
          <w:sz w:val="24"/>
          <w:szCs w:val="24"/>
        </w:rPr>
        <w:t xml:space="preserve">Y PRESENTACIÓN </w:t>
      </w:r>
      <w:r w:rsidRPr="001F4D21">
        <w:rPr>
          <w:rFonts w:cs="Times New Roman"/>
          <w:sz w:val="24"/>
          <w:szCs w:val="24"/>
        </w:rPr>
        <w:t>UTILIZADAS</w:t>
      </w:r>
      <w:bookmarkEnd w:id="5"/>
    </w:p>
    <w:p w14:paraId="01682990" w14:textId="77777777" w:rsidR="00BB7BD6" w:rsidRPr="001F4D21" w:rsidRDefault="00BB7BD6" w:rsidP="00AB4D08">
      <w:pPr>
        <w:spacing w:after="0" w:line="240" w:lineRule="auto"/>
        <w:contextualSpacing/>
        <w:jc w:val="both"/>
        <w:rPr>
          <w:rFonts w:ascii="Times New Roman" w:hAnsi="Times New Roman"/>
          <w:sz w:val="24"/>
          <w:szCs w:val="24"/>
        </w:rPr>
      </w:pPr>
    </w:p>
    <w:p w14:paraId="6F8E77E8" w14:textId="3D6902D6" w:rsidR="00637533" w:rsidRPr="001F4D21" w:rsidRDefault="00FC6E57" w:rsidP="00AB4D08">
      <w:pPr>
        <w:pStyle w:val="Ttulo2"/>
        <w:numPr>
          <w:ilvl w:val="1"/>
          <w:numId w:val="21"/>
        </w:numPr>
        <w:spacing w:line="240" w:lineRule="auto"/>
        <w:ind w:left="567" w:hanging="567"/>
        <w:contextualSpacing/>
        <w:rPr>
          <w:rFonts w:cs="Times New Roman"/>
          <w:szCs w:val="24"/>
        </w:rPr>
      </w:pPr>
      <w:bookmarkStart w:id="6" w:name="_Toc32317229"/>
      <w:r w:rsidRPr="001F4D21">
        <w:rPr>
          <w:rFonts w:cs="Times New Roman"/>
          <w:szCs w:val="24"/>
        </w:rPr>
        <w:t>Bases de medición</w:t>
      </w:r>
      <w:bookmarkEnd w:id="6"/>
    </w:p>
    <w:p w14:paraId="1E8D5DB6" w14:textId="77777777" w:rsidR="00637533" w:rsidRPr="001F4D21" w:rsidRDefault="00637533" w:rsidP="00AB4D08">
      <w:pPr>
        <w:pStyle w:val="Prrafodelista"/>
        <w:spacing w:after="0" w:line="240" w:lineRule="auto"/>
        <w:ind w:left="567"/>
        <w:jc w:val="both"/>
        <w:rPr>
          <w:rFonts w:ascii="Times New Roman" w:hAnsi="Times New Roman"/>
          <w:b/>
          <w:sz w:val="24"/>
          <w:szCs w:val="24"/>
        </w:rPr>
      </w:pPr>
    </w:p>
    <w:p w14:paraId="24FC583C" w14:textId="6E363F98" w:rsidR="00FC6E57" w:rsidRPr="001F4D21" w:rsidRDefault="00E87544" w:rsidP="00AB4D08">
      <w:pPr>
        <w:pStyle w:val="Prrafodelista"/>
        <w:spacing w:after="0" w:line="240" w:lineRule="auto"/>
        <w:ind w:left="567"/>
        <w:jc w:val="both"/>
        <w:rPr>
          <w:rFonts w:ascii="Times New Roman" w:hAnsi="Times New Roman"/>
          <w:sz w:val="24"/>
          <w:szCs w:val="24"/>
        </w:rPr>
      </w:pPr>
      <w:r w:rsidRPr="00B83624">
        <w:rPr>
          <w:rFonts w:ascii="Times New Roman" w:hAnsi="Times New Roman"/>
          <w:sz w:val="24"/>
          <w:szCs w:val="24"/>
        </w:rPr>
        <w:t>Los estados financieros del Instituto de Desarrollo Urbano - IDU, se preparan de acuerdo con las bases de medición establecidas en el Manual de Políticas Contables.</w:t>
      </w:r>
    </w:p>
    <w:p w14:paraId="7FD1C8DA" w14:textId="77777777" w:rsidR="00BB7BD6" w:rsidRPr="001F4D21" w:rsidRDefault="00BB7BD6" w:rsidP="00AB4D08">
      <w:pPr>
        <w:pStyle w:val="Prrafodelista"/>
        <w:spacing w:after="0" w:line="240" w:lineRule="auto"/>
        <w:ind w:left="927"/>
        <w:jc w:val="both"/>
        <w:rPr>
          <w:rFonts w:ascii="Times New Roman" w:hAnsi="Times New Roman"/>
          <w:sz w:val="24"/>
          <w:szCs w:val="24"/>
        </w:rPr>
      </w:pPr>
    </w:p>
    <w:p w14:paraId="46B4884F" w14:textId="375F8178" w:rsidR="00637533" w:rsidRPr="001F4D21" w:rsidRDefault="00FC6E57" w:rsidP="00AB4D08">
      <w:pPr>
        <w:pStyle w:val="Ttulo2"/>
        <w:numPr>
          <w:ilvl w:val="1"/>
          <w:numId w:val="21"/>
        </w:numPr>
        <w:spacing w:line="240" w:lineRule="auto"/>
        <w:ind w:left="567" w:hanging="567"/>
        <w:contextualSpacing/>
        <w:rPr>
          <w:rFonts w:cs="Times New Roman"/>
          <w:szCs w:val="24"/>
        </w:rPr>
      </w:pPr>
      <w:bookmarkStart w:id="7" w:name="_Toc32317230"/>
      <w:r w:rsidRPr="001F4D21">
        <w:rPr>
          <w:rFonts w:cs="Times New Roman"/>
          <w:szCs w:val="24"/>
        </w:rPr>
        <w:t>Moneda funcional y de presentación</w:t>
      </w:r>
      <w:r w:rsidR="004E188B" w:rsidRPr="001F4D21">
        <w:rPr>
          <w:rFonts w:cs="Times New Roman"/>
          <w:szCs w:val="24"/>
        </w:rPr>
        <w:t>, redondeo y materialidad</w:t>
      </w:r>
      <w:bookmarkEnd w:id="7"/>
    </w:p>
    <w:p w14:paraId="62E16679" w14:textId="77777777" w:rsidR="00637533" w:rsidRPr="001F4D21" w:rsidRDefault="00637533" w:rsidP="00AB4D08">
      <w:pPr>
        <w:pStyle w:val="Prrafodelista"/>
        <w:spacing w:after="0" w:line="240" w:lineRule="auto"/>
        <w:ind w:left="567"/>
        <w:jc w:val="both"/>
        <w:rPr>
          <w:rFonts w:ascii="Times New Roman" w:hAnsi="Times New Roman"/>
          <w:b/>
          <w:sz w:val="24"/>
          <w:szCs w:val="24"/>
        </w:rPr>
      </w:pPr>
    </w:p>
    <w:p w14:paraId="68397785" w14:textId="77777777" w:rsidR="00E87544" w:rsidRPr="00B83624" w:rsidRDefault="00E87544" w:rsidP="00AB4D08">
      <w:pPr>
        <w:spacing w:after="0" w:line="240" w:lineRule="auto"/>
        <w:ind w:left="567"/>
        <w:contextualSpacing/>
        <w:jc w:val="both"/>
        <w:rPr>
          <w:rFonts w:ascii="Arial" w:eastAsia="Times New Roman" w:hAnsi="Arial" w:cs="Arial"/>
          <w:color w:val="000000"/>
          <w:sz w:val="18"/>
          <w:szCs w:val="18"/>
          <w:lang w:eastAsia="es-CO"/>
        </w:rPr>
      </w:pPr>
      <w:r w:rsidRPr="00B83624">
        <w:rPr>
          <w:rFonts w:ascii="Times New Roman" w:eastAsia="Times New Roman" w:hAnsi="Times New Roman"/>
          <w:color w:val="000000"/>
          <w:sz w:val="24"/>
          <w:szCs w:val="24"/>
          <w:lang w:eastAsia="es-CO"/>
        </w:rPr>
        <w:t>Los estados financieros del Instituto de Desarrollo Urbano - IDU, se presentan bajo la unidad de medida de pesos colombianos (COP) y la unidad de redondeo se realiza cuando las cifras tienen decimales aproximándolas al peso más cercano bien sea por exceso o defecto.</w:t>
      </w:r>
    </w:p>
    <w:p w14:paraId="7FAB09AC" w14:textId="77777777" w:rsidR="00E87544" w:rsidRPr="00B83624" w:rsidRDefault="00E87544" w:rsidP="00AB4D08">
      <w:pPr>
        <w:spacing w:after="0" w:line="240" w:lineRule="auto"/>
        <w:contextualSpacing/>
        <w:rPr>
          <w:rFonts w:ascii="Arial" w:eastAsia="Times New Roman" w:hAnsi="Arial" w:cs="Arial"/>
          <w:color w:val="000000"/>
          <w:sz w:val="18"/>
          <w:szCs w:val="18"/>
          <w:lang w:eastAsia="es-CO"/>
        </w:rPr>
      </w:pPr>
    </w:p>
    <w:p w14:paraId="027CB383" w14:textId="5F9EFBF3" w:rsidR="00B83624" w:rsidRPr="00B83624" w:rsidRDefault="00E87544" w:rsidP="00AB4D08">
      <w:pPr>
        <w:spacing w:after="0" w:line="240" w:lineRule="auto"/>
        <w:ind w:left="567"/>
        <w:contextualSpacing/>
        <w:jc w:val="both"/>
        <w:rPr>
          <w:rFonts w:ascii="Arial" w:eastAsia="Times New Roman" w:hAnsi="Arial" w:cs="Arial"/>
          <w:color w:val="000000"/>
          <w:sz w:val="18"/>
          <w:szCs w:val="18"/>
          <w:lang w:eastAsia="es-CO"/>
        </w:rPr>
      </w:pPr>
      <w:r w:rsidRPr="00B83624">
        <w:rPr>
          <w:rFonts w:ascii="Times New Roman" w:eastAsia="Times New Roman" w:hAnsi="Times New Roman"/>
          <w:color w:val="000000"/>
          <w:sz w:val="24"/>
          <w:szCs w:val="24"/>
          <w:lang w:eastAsia="es-CO"/>
        </w:rPr>
        <w:t>Para la elaboración y presentación de los estados financieros la materialidad se determina con relación, entre otros, al activo total, activo corriente y no corriente, pasivo total, pasivo corriente y no corriente, al patrimonio o al resultado del ejercicio, según corresponda.  En general se debe tener en cuenta la participación de la partida, reconocida o no, con respecto a un determinado total (clase, grupo, cuenta o subcuenta).</w:t>
      </w:r>
    </w:p>
    <w:p w14:paraId="642E3CDE" w14:textId="77777777" w:rsidR="006F7A52" w:rsidRPr="001F4D21" w:rsidRDefault="006F7A52" w:rsidP="00AB4D08">
      <w:pPr>
        <w:pStyle w:val="Prrafodelista"/>
        <w:spacing w:after="0" w:line="240" w:lineRule="auto"/>
        <w:jc w:val="both"/>
        <w:rPr>
          <w:rFonts w:ascii="Times New Roman" w:hAnsi="Times New Roman"/>
          <w:sz w:val="24"/>
          <w:szCs w:val="24"/>
        </w:rPr>
      </w:pPr>
    </w:p>
    <w:p w14:paraId="7387EAD3" w14:textId="77777777" w:rsidR="00637533" w:rsidRPr="001F4D21" w:rsidRDefault="00FC6E57" w:rsidP="00AB4D08">
      <w:pPr>
        <w:pStyle w:val="Ttulo2"/>
        <w:numPr>
          <w:ilvl w:val="1"/>
          <w:numId w:val="21"/>
        </w:numPr>
        <w:spacing w:line="240" w:lineRule="auto"/>
        <w:ind w:left="567" w:hanging="567"/>
        <w:contextualSpacing/>
        <w:rPr>
          <w:rFonts w:cs="Times New Roman"/>
          <w:szCs w:val="24"/>
        </w:rPr>
      </w:pPr>
      <w:bookmarkStart w:id="8" w:name="_Toc32317231"/>
      <w:r w:rsidRPr="001F4D21">
        <w:rPr>
          <w:rFonts w:cs="Times New Roman"/>
          <w:szCs w:val="24"/>
        </w:rPr>
        <w:t>Tratamiento de la moneda extranjera</w:t>
      </w:r>
      <w:bookmarkEnd w:id="8"/>
    </w:p>
    <w:p w14:paraId="3C69CDA7" w14:textId="77777777" w:rsidR="00637533" w:rsidRPr="001F4D21" w:rsidRDefault="00637533" w:rsidP="00AB4D08">
      <w:pPr>
        <w:pStyle w:val="Prrafodelista"/>
        <w:spacing w:after="0" w:line="240" w:lineRule="auto"/>
        <w:ind w:left="567"/>
        <w:jc w:val="both"/>
        <w:rPr>
          <w:rFonts w:ascii="Times New Roman" w:hAnsi="Times New Roman"/>
          <w:sz w:val="24"/>
          <w:szCs w:val="24"/>
        </w:rPr>
      </w:pPr>
    </w:p>
    <w:p w14:paraId="5CE202C3" w14:textId="103C4E1A" w:rsidR="00FC6E57" w:rsidRPr="00B83624" w:rsidRDefault="00E87544" w:rsidP="00AB4D08">
      <w:pPr>
        <w:pStyle w:val="Prrafodelista"/>
        <w:spacing w:after="0" w:line="240" w:lineRule="auto"/>
        <w:ind w:left="567"/>
        <w:jc w:val="both"/>
        <w:rPr>
          <w:rFonts w:ascii="Times New Roman" w:eastAsia="Times New Roman" w:hAnsi="Times New Roman"/>
          <w:color w:val="000000"/>
          <w:sz w:val="24"/>
          <w:szCs w:val="24"/>
          <w:lang w:eastAsia="es-CO"/>
        </w:rPr>
      </w:pPr>
      <w:r w:rsidRPr="00B83624">
        <w:rPr>
          <w:rFonts w:ascii="Times New Roman" w:eastAsia="Times New Roman" w:hAnsi="Times New Roman"/>
          <w:color w:val="000000"/>
          <w:sz w:val="24"/>
          <w:szCs w:val="24"/>
          <w:lang w:eastAsia="es-CO"/>
        </w:rPr>
        <w:t xml:space="preserve">A la fecha de la preparación de los </w:t>
      </w:r>
      <w:r>
        <w:rPr>
          <w:rFonts w:ascii="Times New Roman" w:eastAsia="Times New Roman" w:hAnsi="Times New Roman"/>
          <w:color w:val="000000"/>
          <w:sz w:val="24"/>
          <w:szCs w:val="24"/>
          <w:lang w:eastAsia="es-CO"/>
        </w:rPr>
        <w:t>e</w:t>
      </w:r>
      <w:r w:rsidRPr="00B83624">
        <w:rPr>
          <w:rFonts w:ascii="Times New Roman" w:eastAsia="Times New Roman" w:hAnsi="Times New Roman"/>
          <w:color w:val="000000"/>
          <w:sz w:val="24"/>
          <w:szCs w:val="24"/>
          <w:lang w:eastAsia="es-CO"/>
        </w:rPr>
        <w:t>stados financieros, la entidad no presenta operaciones en moneda extranjera.</w:t>
      </w:r>
    </w:p>
    <w:p w14:paraId="6590E52E" w14:textId="77777777" w:rsidR="00BB7BD6" w:rsidRPr="00B83624" w:rsidRDefault="00BB7BD6" w:rsidP="00AB4D08">
      <w:pPr>
        <w:pStyle w:val="Prrafodelista"/>
        <w:spacing w:after="0" w:line="240" w:lineRule="auto"/>
        <w:ind w:left="927"/>
        <w:jc w:val="both"/>
        <w:rPr>
          <w:rFonts w:ascii="Times New Roman" w:eastAsia="Times New Roman" w:hAnsi="Times New Roman"/>
          <w:color w:val="000000"/>
          <w:sz w:val="24"/>
          <w:szCs w:val="24"/>
          <w:lang w:eastAsia="es-CO"/>
        </w:rPr>
      </w:pPr>
    </w:p>
    <w:p w14:paraId="0D3FA29C" w14:textId="77777777" w:rsidR="00637533" w:rsidRPr="001F4D21" w:rsidRDefault="00FC0019" w:rsidP="00AB4D08">
      <w:pPr>
        <w:pStyle w:val="Ttulo2"/>
        <w:numPr>
          <w:ilvl w:val="1"/>
          <w:numId w:val="21"/>
        </w:numPr>
        <w:spacing w:line="240" w:lineRule="auto"/>
        <w:ind w:left="567" w:hanging="567"/>
        <w:contextualSpacing/>
        <w:rPr>
          <w:rFonts w:cs="Times New Roman"/>
          <w:szCs w:val="24"/>
        </w:rPr>
      </w:pPr>
      <w:bookmarkStart w:id="9" w:name="_Toc32317232"/>
      <w:r w:rsidRPr="001F4D21">
        <w:rPr>
          <w:rFonts w:cs="Times New Roman"/>
          <w:szCs w:val="24"/>
        </w:rPr>
        <w:t>Hechos ocurridos después del periodo contable</w:t>
      </w:r>
      <w:bookmarkEnd w:id="9"/>
    </w:p>
    <w:p w14:paraId="1037AAAE" w14:textId="77777777" w:rsidR="00637533" w:rsidRPr="001F4D21" w:rsidRDefault="00637533" w:rsidP="00AB4D08">
      <w:pPr>
        <w:pStyle w:val="Prrafodelista"/>
        <w:spacing w:after="0" w:line="240" w:lineRule="auto"/>
        <w:ind w:left="567"/>
        <w:jc w:val="both"/>
        <w:rPr>
          <w:rFonts w:ascii="Times New Roman" w:hAnsi="Times New Roman"/>
          <w:b/>
          <w:sz w:val="24"/>
          <w:szCs w:val="24"/>
        </w:rPr>
      </w:pPr>
    </w:p>
    <w:p w14:paraId="02B4F699" w14:textId="71F8C97D" w:rsidR="002F6BF4" w:rsidRPr="00B83624" w:rsidRDefault="00E87544" w:rsidP="00AB4D08">
      <w:pPr>
        <w:pStyle w:val="Prrafodelista"/>
        <w:spacing w:after="0" w:line="240" w:lineRule="auto"/>
        <w:ind w:left="567"/>
        <w:jc w:val="both"/>
        <w:rPr>
          <w:rFonts w:ascii="Times New Roman" w:eastAsia="Times New Roman" w:hAnsi="Times New Roman"/>
          <w:color w:val="000000"/>
          <w:sz w:val="24"/>
          <w:szCs w:val="24"/>
          <w:lang w:eastAsia="es-CO"/>
        </w:rPr>
      </w:pPr>
      <w:r w:rsidRPr="00B83624">
        <w:rPr>
          <w:rFonts w:ascii="Times New Roman" w:eastAsia="Times New Roman" w:hAnsi="Times New Roman"/>
          <w:color w:val="000000"/>
          <w:sz w:val="24"/>
          <w:szCs w:val="24"/>
          <w:lang w:eastAsia="es-CO"/>
        </w:rPr>
        <w:t>A la fecha de la preparación de los estados financieros, no se presentan hechos ocurridos después del periodo contable.</w:t>
      </w:r>
    </w:p>
    <w:p w14:paraId="7364F9BC" w14:textId="77777777" w:rsidR="00BB7BD6" w:rsidRPr="001F4D21" w:rsidRDefault="00BB7BD6" w:rsidP="00AB4D08">
      <w:pPr>
        <w:pStyle w:val="Prrafodelista"/>
        <w:spacing w:after="0" w:line="240" w:lineRule="auto"/>
        <w:jc w:val="both"/>
        <w:rPr>
          <w:rFonts w:ascii="Times New Roman" w:hAnsi="Times New Roman"/>
          <w:b/>
          <w:sz w:val="24"/>
          <w:szCs w:val="24"/>
        </w:rPr>
      </w:pPr>
    </w:p>
    <w:p w14:paraId="601893A0" w14:textId="77777777" w:rsidR="00637533" w:rsidRPr="001F4D21" w:rsidRDefault="00FC6E57" w:rsidP="00AB4D08">
      <w:pPr>
        <w:pStyle w:val="Ttulo2"/>
        <w:numPr>
          <w:ilvl w:val="1"/>
          <w:numId w:val="21"/>
        </w:numPr>
        <w:spacing w:line="240" w:lineRule="auto"/>
        <w:ind w:left="567" w:hanging="567"/>
        <w:contextualSpacing/>
        <w:rPr>
          <w:rFonts w:cs="Times New Roman"/>
          <w:szCs w:val="24"/>
        </w:rPr>
      </w:pPr>
      <w:bookmarkStart w:id="10" w:name="_Toc32317233"/>
      <w:r w:rsidRPr="001F4D21">
        <w:rPr>
          <w:rFonts w:cs="Times New Roman"/>
          <w:szCs w:val="24"/>
        </w:rPr>
        <w:t>Otros aspectos</w:t>
      </w:r>
      <w:bookmarkEnd w:id="10"/>
    </w:p>
    <w:p w14:paraId="37AD99C0" w14:textId="77777777" w:rsidR="00637533" w:rsidRPr="001F4D21" w:rsidRDefault="00637533" w:rsidP="00AB4D08">
      <w:pPr>
        <w:pStyle w:val="Prrafodelista"/>
        <w:spacing w:after="0" w:line="240" w:lineRule="auto"/>
        <w:ind w:left="567"/>
        <w:jc w:val="both"/>
        <w:rPr>
          <w:rFonts w:ascii="Times New Roman" w:hAnsi="Times New Roman"/>
          <w:b/>
          <w:sz w:val="24"/>
          <w:szCs w:val="24"/>
        </w:rPr>
      </w:pPr>
    </w:p>
    <w:p w14:paraId="03CD9D4F" w14:textId="1C2B6D26" w:rsidR="00FC6E57" w:rsidRDefault="00E87544" w:rsidP="00AB4D08">
      <w:pPr>
        <w:pStyle w:val="Prrafodelista"/>
        <w:spacing w:after="0" w:line="240" w:lineRule="auto"/>
        <w:ind w:left="567"/>
        <w:jc w:val="both"/>
        <w:rPr>
          <w:rFonts w:ascii="Times New Roman" w:eastAsia="Times New Roman" w:hAnsi="Times New Roman"/>
          <w:color w:val="000000"/>
          <w:sz w:val="24"/>
          <w:szCs w:val="24"/>
          <w:lang w:eastAsia="es-CO"/>
        </w:rPr>
      </w:pPr>
      <w:r w:rsidRPr="00B83624">
        <w:rPr>
          <w:rFonts w:ascii="Times New Roman" w:eastAsia="Times New Roman" w:hAnsi="Times New Roman"/>
          <w:color w:val="000000"/>
          <w:sz w:val="24"/>
          <w:szCs w:val="24"/>
          <w:lang w:eastAsia="es-CO"/>
        </w:rPr>
        <w:t>Los estados financieros se han preparado</w:t>
      </w:r>
      <w:r>
        <w:rPr>
          <w:rFonts w:ascii="Times New Roman" w:eastAsia="Times New Roman" w:hAnsi="Times New Roman"/>
          <w:color w:val="000000"/>
          <w:sz w:val="24"/>
          <w:szCs w:val="24"/>
          <w:lang w:eastAsia="es-CO"/>
        </w:rPr>
        <w:t xml:space="preserve"> y presentado</w:t>
      </w:r>
      <w:r w:rsidRPr="00B83624">
        <w:rPr>
          <w:rFonts w:ascii="Times New Roman" w:eastAsia="Times New Roman" w:hAnsi="Times New Roman"/>
          <w:color w:val="000000"/>
          <w:sz w:val="24"/>
          <w:szCs w:val="24"/>
          <w:lang w:eastAsia="es-CO"/>
        </w:rPr>
        <w:t>, dando cumplimiento a la normatividad vigente y de acuerdo con el Manual de Políticas Contables de la entidad.</w:t>
      </w:r>
    </w:p>
    <w:p w14:paraId="119BFC22" w14:textId="77777777" w:rsidR="00F13981" w:rsidRPr="00B83624" w:rsidRDefault="00F13981" w:rsidP="00AB4D08">
      <w:pPr>
        <w:pStyle w:val="Prrafodelista"/>
        <w:spacing w:after="0" w:line="240" w:lineRule="auto"/>
        <w:ind w:left="567"/>
        <w:jc w:val="both"/>
        <w:rPr>
          <w:rFonts w:ascii="Times New Roman" w:eastAsia="Times New Roman" w:hAnsi="Times New Roman"/>
          <w:color w:val="000000"/>
          <w:sz w:val="24"/>
          <w:szCs w:val="24"/>
          <w:lang w:eastAsia="es-CO"/>
        </w:rPr>
      </w:pPr>
    </w:p>
    <w:p w14:paraId="02189B6C" w14:textId="77777777" w:rsidR="00DE77A3" w:rsidRPr="001F4D21" w:rsidRDefault="00DE77A3" w:rsidP="00AB4D08">
      <w:pPr>
        <w:pStyle w:val="Prrafodelista"/>
        <w:spacing w:after="0" w:line="240" w:lineRule="auto"/>
        <w:jc w:val="both"/>
        <w:rPr>
          <w:rFonts w:ascii="Times New Roman" w:hAnsi="Times New Roman"/>
          <w:sz w:val="24"/>
          <w:szCs w:val="24"/>
        </w:rPr>
      </w:pPr>
    </w:p>
    <w:p w14:paraId="050F28CC" w14:textId="01ACCF17" w:rsidR="002F6BF4" w:rsidRPr="001F4D21" w:rsidRDefault="00FC6E57" w:rsidP="00AB4D08">
      <w:pPr>
        <w:pStyle w:val="Ttulo1"/>
        <w:contextualSpacing/>
        <w:rPr>
          <w:rFonts w:cs="Times New Roman"/>
          <w:sz w:val="24"/>
          <w:szCs w:val="24"/>
        </w:rPr>
      </w:pPr>
      <w:bookmarkStart w:id="11" w:name="_Toc32317234"/>
      <w:r w:rsidRPr="001F4D21">
        <w:rPr>
          <w:rFonts w:cs="Times New Roman"/>
          <w:sz w:val="24"/>
          <w:szCs w:val="24"/>
        </w:rPr>
        <w:lastRenderedPageBreak/>
        <w:t>NOTA 3. JUICIOS, ESTIMACIONES</w:t>
      </w:r>
      <w:r w:rsidR="002F6BF4" w:rsidRPr="001F4D21">
        <w:rPr>
          <w:rFonts w:cs="Times New Roman"/>
          <w:sz w:val="24"/>
          <w:szCs w:val="24"/>
        </w:rPr>
        <w:t xml:space="preserve">, RIESGOS Y </w:t>
      </w:r>
      <w:r w:rsidR="00763171" w:rsidRPr="001F4D21">
        <w:rPr>
          <w:rFonts w:cs="Times New Roman"/>
          <w:sz w:val="24"/>
          <w:szCs w:val="24"/>
        </w:rPr>
        <w:t>CORRECCIÓN DE ERRORES CONTABLES</w:t>
      </w:r>
      <w:bookmarkEnd w:id="11"/>
    </w:p>
    <w:p w14:paraId="319CD42F" w14:textId="77777777" w:rsidR="00BB7BD6" w:rsidRPr="001F4D21" w:rsidRDefault="00BB7BD6" w:rsidP="00AB4D08">
      <w:pPr>
        <w:spacing w:after="0" w:line="240" w:lineRule="auto"/>
        <w:contextualSpacing/>
        <w:jc w:val="both"/>
        <w:rPr>
          <w:rFonts w:ascii="Times New Roman" w:hAnsi="Times New Roman"/>
          <w:b/>
          <w:sz w:val="24"/>
          <w:szCs w:val="24"/>
        </w:rPr>
      </w:pPr>
    </w:p>
    <w:p w14:paraId="42F8AE86" w14:textId="1C88C960" w:rsidR="00637533" w:rsidRPr="001F4D21" w:rsidRDefault="00FC6E57" w:rsidP="00AB4D08">
      <w:pPr>
        <w:pStyle w:val="Ttulo2"/>
        <w:numPr>
          <w:ilvl w:val="1"/>
          <w:numId w:val="22"/>
        </w:numPr>
        <w:spacing w:line="240" w:lineRule="auto"/>
        <w:ind w:left="567" w:hanging="567"/>
        <w:contextualSpacing/>
        <w:rPr>
          <w:rFonts w:cs="Times New Roman"/>
          <w:szCs w:val="24"/>
        </w:rPr>
      </w:pPr>
      <w:bookmarkStart w:id="12" w:name="_Toc32317235"/>
      <w:r w:rsidRPr="001F4D21">
        <w:rPr>
          <w:rFonts w:cs="Times New Roman"/>
          <w:szCs w:val="24"/>
        </w:rPr>
        <w:t>Juicios</w:t>
      </w:r>
      <w:bookmarkEnd w:id="12"/>
    </w:p>
    <w:p w14:paraId="480B1FDD" w14:textId="77777777" w:rsidR="00637533" w:rsidRPr="001F4D21" w:rsidRDefault="00637533" w:rsidP="00AB4D08">
      <w:pPr>
        <w:pStyle w:val="Prrafodelista"/>
        <w:spacing w:after="0" w:line="240" w:lineRule="auto"/>
        <w:ind w:left="567"/>
        <w:jc w:val="both"/>
        <w:rPr>
          <w:rFonts w:ascii="Times New Roman" w:hAnsi="Times New Roman"/>
          <w:b/>
          <w:sz w:val="24"/>
          <w:szCs w:val="24"/>
        </w:rPr>
      </w:pPr>
    </w:p>
    <w:p w14:paraId="1601DA47" w14:textId="08D1E7BB" w:rsidR="000C438C" w:rsidRDefault="00E87544" w:rsidP="00AB4D08">
      <w:pPr>
        <w:pStyle w:val="Prrafodelista"/>
        <w:spacing w:after="0" w:line="240" w:lineRule="auto"/>
        <w:ind w:left="567"/>
        <w:jc w:val="both"/>
        <w:rPr>
          <w:rFonts w:ascii="Times New Roman" w:hAnsi="Times New Roman"/>
          <w:sz w:val="24"/>
          <w:szCs w:val="24"/>
        </w:rPr>
      </w:pPr>
      <w:r>
        <w:rPr>
          <w:rFonts w:ascii="Times New Roman" w:hAnsi="Times New Roman"/>
          <w:sz w:val="24"/>
          <w:szCs w:val="24"/>
        </w:rPr>
        <w:t>El Instituto de Desarrollo Urbano – IDU, durante la vigencia 2019 preparo los Estados Financieros, dando cumplimiento a lo establecido en la normatividad vigente y el Manual de Políticas Contable.</w:t>
      </w:r>
    </w:p>
    <w:p w14:paraId="6884D0C6" w14:textId="03471F1A" w:rsidR="00FC6E57" w:rsidRPr="001F4D21" w:rsidRDefault="00FC6E57" w:rsidP="00AB4D08">
      <w:pPr>
        <w:pStyle w:val="Prrafodelista"/>
        <w:spacing w:after="0" w:line="240" w:lineRule="auto"/>
        <w:ind w:left="567"/>
        <w:jc w:val="both"/>
        <w:rPr>
          <w:rFonts w:ascii="Times New Roman" w:hAnsi="Times New Roman"/>
          <w:sz w:val="24"/>
          <w:szCs w:val="24"/>
        </w:rPr>
      </w:pPr>
    </w:p>
    <w:p w14:paraId="168887AD" w14:textId="2CEA1C82" w:rsidR="00637533" w:rsidRPr="001F4D21" w:rsidRDefault="00FC6E57" w:rsidP="00AB4D08">
      <w:pPr>
        <w:pStyle w:val="Ttulo2"/>
        <w:numPr>
          <w:ilvl w:val="1"/>
          <w:numId w:val="22"/>
        </w:numPr>
        <w:spacing w:line="240" w:lineRule="auto"/>
        <w:ind w:left="567" w:hanging="567"/>
        <w:contextualSpacing/>
        <w:rPr>
          <w:rFonts w:cs="Times New Roman"/>
          <w:szCs w:val="24"/>
        </w:rPr>
      </w:pPr>
      <w:bookmarkStart w:id="13" w:name="_Toc32317236"/>
      <w:r w:rsidRPr="001F4D21">
        <w:rPr>
          <w:rFonts w:cs="Times New Roman"/>
          <w:szCs w:val="24"/>
        </w:rPr>
        <w:t>Estimaciones y supuestos</w:t>
      </w:r>
      <w:bookmarkEnd w:id="13"/>
    </w:p>
    <w:p w14:paraId="6DA993B0" w14:textId="77777777" w:rsidR="00637533" w:rsidRPr="001F4D21" w:rsidRDefault="00637533" w:rsidP="00AB4D08">
      <w:pPr>
        <w:spacing w:after="0" w:line="240" w:lineRule="auto"/>
        <w:ind w:left="567"/>
        <w:contextualSpacing/>
        <w:jc w:val="both"/>
        <w:rPr>
          <w:rFonts w:ascii="Times New Roman" w:hAnsi="Times New Roman"/>
          <w:b/>
          <w:sz w:val="24"/>
          <w:szCs w:val="24"/>
        </w:rPr>
      </w:pPr>
    </w:p>
    <w:p w14:paraId="1713961C" w14:textId="67ECA10F" w:rsidR="000C4548" w:rsidRDefault="00E87544"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El Instituto de Desarrollo Urbano – IDU, presenta estimaciones contables con afectación en la vigencia 2019, como: deterioro en las inversiones medidas al costo, deterioro en cuentas por cobrar, deterioro en los activos no generadores de efectivo y litigios.</w:t>
      </w:r>
    </w:p>
    <w:p w14:paraId="705A297E" w14:textId="77777777" w:rsidR="000C4548" w:rsidRDefault="000C4548" w:rsidP="00AB4D08">
      <w:pPr>
        <w:spacing w:after="0" w:line="240" w:lineRule="auto"/>
        <w:ind w:left="567"/>
        <w:contextualSpacing/>
        <w:jc w:val="both"/>
        <w:rPr>
          <w:rFonts w:ascii="Times New Roman" w:hAnsi="Times New Roman"/>
          <w:sz w:val="24"/>
          <w:szCs w:val="24"/>
        </w:rPr>
      </w:pPr>
    </w:p>
    <w:p w14:paraId="3D408EF9" w14:textId="576590F8" w:rsidR="00637533" w:rsidRPr="001F4D21" w:rsidRDefault="00174EC0" w:rsidP="00AB4D08">
      <w:pPr>
        <w:pStyle w:val="Ttulo2"/>
        <w:numPr>
          <w:ilvl w:val="1"/>
          <w:numId w:val="22"/>
        </w:numPr>
        <w:spacing w:line="240" w:lineRule="auto"/>
        <w:ind w:left="567" w:hanging="567"/>
        <w:contextualSpacing/>
        <w:rPr>
          <w:rFonts w:cs="Times New Roman"/>
          <w:szCs w:val="24"/>
        </w:rPr>
      </w:pPr>
      <w:bookmarkStart w:id="14" w:name="_Toc32317237"/>
      <w:r w:rsidRPr="001F4D21">
        <w:rPr>
          <w:rFonts w:cs="Times New Roman"/>
          <w:szCs w:val="24"/>
        </w:rPr>
        <w:t>Correcciones contables</w:t>
      </w:r>
      <w:bookmarkEnd w:id="14"/>
    </w:p>
    <w:p w14:paraId="227A451E" w14:textId="77777777" w:rsidR="00637533" w:rsidRPr="001F4D21" w:rsidRDefault="00637533" w:rsidP="00AB4D08">
      <w:pPr>
        <w:spacing w:after="0" w:line="240" w:lineRule="auto"/>
        <w:ind w:left="567"/>
        <w:contextualSpacing/>
        <w:jc w:val="both"/>
        <w:rPr>
          <w:rFonts w:ascii="Times New Roman" w:hAnsi="Times New Roman"/>
          <w:b/>
          <w:sz w:val="24"/>
          <w:szCs w:val="24"/>
        </w:rPr>
      </w:pPr>
    </w:p>
    <w:p w14:paraId="4D988921" w14:textId="08FAE836" w:rsidR="00FD0913" w:rsidRDefault="00E87544"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El Instituto de Desarrollo Urbano – IDU, con corte a la vigencia 2019 no genero ninguna corrección a los Estados Financieros de periodos anteriores.</w:t>
      </w:r>
    </w:p>
    <w:p w14:paraId="56EFD834" w14:textId="77777777" w:rsidR="00FD0913" w:rsidRDefault="00FD0913" w:rsidP="00AB4D08">
      <w:pPr>
        <w:spacing w:after="0" w:line="240" w:lineRule="auto"/>
        <w:ind w:left="567"/>
        <w:contextualSpacing/>
        <w:jc w:val="both"/>
        <w:rPr>
          <w:rFonts w:ascii="Times New Roman" w:hAnsi="Times New Roman"/>
          <w:sz w:val="24"/>
          <w:szCs w:val="24"/>
        </w:rPr>
      </w:pPr>
    </w:p>
    <w:p w14:paraId="7F6DC6DE" w14:textId="655253D7" w:rsidR="00637533" w:rsidRPr="001F4D21" w:rsidRDefault="002F6BF4" w:rsidP="00AB4D08">
      <w:pPr>
        <w:pStyle w:val="Ttulo2"/>
        <w:numPr>
          <w:ilvl w:val="1"/>
          <w:numId w:val="22"/>
        </w:numPr>
        <w:spacing w:line="240" w:lineRule="auto"/>
        <w:ind w:left="567" w:hanging="567"/>
        <w:contextualSpacing/>
        <w:rPr>
          <w:rFonts w:cs="Times New Roman"/>
          <w:szCs w:val="24"/>
        </w:rPr>
      </w:pPr>
      <w:bookmarkStart w:id="15" w:name="_Toc32317238"/>
      <w:r w:rsidRPr="001F4D21">
        <w:rPr>
          <w:rFonts w:cs="Times New Roman"/>
          <w:szCs w:val="24"/>
        </w:rPr>
        <w:t>Riesgos asociados a los instrumentos financieros</w:t>
      </w:r>
      <w:bookmarkEnd w:id="15"/>
    </w:p>
    <w:p w14:paraId="2C921A03" w14:textId="77777777" w:rsidR="00637533" w:rsidRPr="001F4D21" w:rsidRDefault="00637533" w:rsidP="00AB4D08">
      <w:pPr>
        <w:spacing w:after="0" w:line="240" w:lineRule="auto"/>
        <w:ind w:left="567"/>
        <w:contextualSpacing/>
        <w:jc w:val="both"/>
        <w:rPr>
          <w:rFonts w:ascii="Times New Roman" w:hAnsi="Times New Roman"/>
          <w:b/>
          <w:sz w:val="24"/>
          <w:szCs w:val="24"/>
        </w:rPr>
      </w:pPr>
    </w:p>
    <w:p w14:paraId="4FFF795A" w14:textId="75282C10" w:rsidR="00EB552D" w:rsidRDefault="00E87544"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Los instrumentos financieros del Instituto de Desarrollo Urbano – IDU, con corte a la vigencia 2019, no presentan ningún riesgo de mercado ni de liquidez que puedan afectar los Estados Financieros del Instituto.</w:t>
      </w:r>
    </w:p>
    <w:p w14:paraId="0F7B85AB" w14:textId="77777777" w:rsidR="00EB552D" w:rsidRDefault="00EB552D" w:rsidP="00AB4D08">
      <w:pPr>
        <w:spacing w:after="0" w:line="240" w:lineRule="auto"/>
        <w:ind w:left="567"/>
        <w:contextualSpacing/>
        <w:jc w:val="both"/>
        <w:rPr>
          <w:rFonts w:ascii="Times New Roman" w:hAnsi="Times New Roman"/>
          <w:sz w:val="24"/>
          <w:szCs w:val="24"/>
        </w:rPr>
      </w:pPr>
    </w:p>
    <w:p w14:paraId="282467B7" w14:textId="77777777" w:rsidR="00F13981" w:rsidRDefault="00F13981" w:rsidP="00AB4D08">
      <w:pPr>
        <w:spacing w:after="0" w:line="240" w:lineRule="auto"/>
        <w:ind w:left="567"/>
        <w:contextualSpacing/>
        <w:jc w:val="both"/>
        <w:rPr>
          <w:rFonts w:ascii="Times New Roman" w:hAnsi="Times New Roman"/>
          <w:sz w:val="24"/>
          <w:szCs w:val="24"/>
        </w:rPr>
      </w:pPr>
    </w:p>
    <w:p w14:paraId="78726C3F" w14:textId="77777777" w:rsidR="00CB6A52" w:rsidRPr="0031578D" w:rsidRDefault="00E24787" w:rsidP="00AB4D08">
      <w:pPr>
        <w:pStyle w:val="Ttulo1"/>
        <w:contextualSpacing/>
        <w:rPr>
          <w:rFonts w:cs="Times New Roman"/>
          <w:sz w:val="24"/>
          <w:szCs w:val="24"/>
        </w:rPr>
      </w:pPr>
      <w:bookmarkStart w:id="16" w:name="_Toc32317239"/>
      <w:r w:rsidRPr="0031578D">
        <w:rPr>
          <w:rFonts w:cs="Times New Roman"/>
          <w:sz w:val="24"/>
          <w:szCs w:val="24"/>
        </w:rPr>
        <w:t>NOTA 4. RESUMEN DE POLÍTICAS CONTABLES</w:t>
      </w:r>
      <w:bookmarkEnd w:id="16"/>
    </w:p>
    <w:p w14:paraId="58AF9A6E" w14:textId="77777777" w:rsidR="00BB7BD6" w:rsidRPr="0031578D" w:rsidRDefault="00BB7BD6" w:rsidP="00AB4D08">
      <w:pPr>
        <w:spacing w:after="0" w:line="240" w:lineRule="auto"/>
        <w:contextualSpacing/>
        <w:jc w:val="both"/>
        <w:rPr>
          <w:rFonts w:ascii="Times New Roman" w:hAnsi="Times New Roman"/>
          <w:sz w:val="24"/>
          <w:szCs w:val="24"/>
        </w:rPr>
      </w:pPr>
    </w:p>
    <w:p w14:paraId="4302D53D" w14:textId="418D3D88" w:rsidR="00C42B32" w:rsidRPr="0031578D" w:rsidRDefault="0034048B"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Efectivo y Equivalentes al Efectivo</w:t>
      </w:r>
    </w:p>
    <w:p w14:paraId="22F1E82C"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p>
    <w:p w14:paraId="42969603"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Son reconocidos en la contabilidad en el momento en que el efectivo es recibido o es transferido a una entidad financiera a manera de depósitos a la vista, cuentas corrientes o de ahorros y su valor es el importe nominal, del total de efectivo o el equivalente del mismo. </w:t>
      </w:r>
    </w:p>
    <w:p w14:paraId="2605B7C0"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p>
    <w:p w14:paraId="4466FF3E"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Se mide el efectivo por el valor asignado para las cuentas de efectivo y sus equivalentes y el valor de medición es constituido por el valor nominal del derecho en efectivo del mismo, esto representado en la moneda funcional definida.</w:t>
      </w:r>
    </w:p>
    <w:p w14:paraId="3E5AB3BB"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p>
    <w:p w14:paraId="16E62E95" w14:textId="38ADEE5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Con posterioridad al reconocimiento, el INSTITUTO DE DESARROLLO URBANO – IDU, mantiene por el valor de la transacción el efectivo y equivalentes al efectivo.</w:t>
      </w:r>
    </w:p>
    <w:p w14:paraId="0661D277" w14:textId="77777777" w:rsidR="00B517F5" w:rsidRPr="0031578D" w:rsidRDefault="00B517F5" w:rsidP="00AB4D08">
      <w:pPr>
        <w:spacing w:after="0" w:line="240" w:lineRule="auto"/>
        <w:ind w:left="567"/>
        <w:contextualSpacing/>
        <w:jc w:val="both"/>
        <w:rPr>
          <w:rFonts w:ascii="Times New Roman" w:eastAsia="Arial" w:hAnsi="Times New Roman"/>
          <w:sz w:val="24"/>
          <w:szCs w:val="24"/>
        </w:rPr>
      </w:pPr>
    </w:p>
    <w:p w14:paraId="61C487FA" w14:textId="4BA17AE7" w:rsidR="00B517F5" w:rsidRPr="0031578D" w:rsidRDefault="00B517F5"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Para efectos de la presentación de la información financiera, el valor del efectivo y equivalentes de efectivo, se presentan como un activo corriente</w:t>
      </w:r>
    </w:p>
    <w:p w14:paraId="566AF595" w14:textId="16D0F5F5" w:rsidR="00294AFD" w:rsidRPr="0031578D" w:rsidRDefault="00294AFD" w:rsidP="00AB4D08">
      <w:pPr>
        <w:pStyle w:val="Prrafodelista"/>
        <w:numPr>
          <w:ilvl w:val="0"/>
          <w:numId w:val="4"/>
        </w:numPr>
        <w:spacing w:after="0" w:line="240" w:lineRule="auto"/>
        <w:ind w:left="567" w:firstLine="0"/>
        <w:jc w:val="both"/>
        <w:rPr>
          <w:rFonts w:ascii="Times New Roman" w:eastAsia="Arial" w:hAnsi="Times New Roman"/>
          <w:sz w:val="24"/>
          <w:szCs w:val="24"/>
        </w:rPr>
      </w:pPr>
      <w:r w:rsidRPr="0031578D">
        <w:rPr>
          <w:rFonts w:ascii="Times New Roman" w:eastAsia="Arial" w:hAnsi="Times New Roman"/>
          <w:sz w:val="24"/>
          <w:szCs w:val="24"/>
        </w:rPr>
        <w:lastRenderedPageBreak/>
        <w:t>Inversiones e</w:t>
      </w:r>
      <w:r w:rsidR="00581BD8" w:rsidRPr="0031578D">
        <w:rPr>
          <w:rFonts w:ascii="Times New Roman" w:eastAsia="Arial" w:hAnsi="Times New Roman"/>
          <w:sz w:val="24"/>
          <w:szCs w:val="24"/>
        </w:rPr>
        <w:t xml:space="preserve"> instrumentos derivados</w:t>
      </w:r>
    </w:p>
    <w:p w14:paraId="605C3EDA"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p>
    <w:p w14:paraId="56212153" w14:textId="242FE879" w:rsidR="00294AFD" w:rsidRPr="0031578D" w:rsidRDefault="00294AFD" w:rsidP="00AB4D08">
      <w:pPr>
        <w:pStyle w:val="Prrafodelista"/>
        <w:numPr>
          <w:ilvl w:val="0"/>
          <w:numId w:val="41"/>
        </w:numPr>
        <w:pBdr>
          <w:top w:val="nil"/>
          <w:left w:val="nil"/>
          <w:bottom w:val="nil"/>
          <w:right w:val="nil"/>
          <w:between w:val="nil"/>
        </w:pBdr>
        <w:spacing w:line="240" w:lineRule="auto"/>
        <w:rPr>
          <w:rFonts w:ascii="Times New Roman" w:eastAsia="Arial" w:hAnsi="Times New Roman"/>
          <w:sz w:val="24"/>
          <w:szCs w:val="24"/>
        </w:rPr>
      </w:pPr>
      <w:r w:rsidRPr="0031578D">
        <w:rPr>
          <w:rFonts w:ascii="Times New Roman" w:eastAsia="Arial" w:hAnsi="Times New Roman"/>
          <w:sz w:val="24"/>
          <w:szCs w:val="24"/>
        </w:rPr>
        <w:t xml:space="preserve">Inversiones </w:t>
      </w:r>
      <w:r w:rsidR="00581BD8" w:rsidRPr="0031578D">
        <w:rPr>
          <w:rFonts w:ascii="Times New Roman" w:eastAsia="Arial" w:hAnsi="Times New Roman"/>
          <w:sz w:val="24"/>
          <w:szCs w:val="24"/>
        </w:rPr>
        <w:t>de administración de liquidez a costos amortizado</w:t>
      </w:r>
    </w:p>
    <w:p w14:paraId="413FF6C8"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Corresponden a las inversiones que el INSTITUTO DE DESARROLLO URBANO – IDU, tiene la intención y capacidad de conservar hasta su vencimiento.  Se reconocen como inversiones de administración de liquidez, los recursos financieros colocados en instrumentos de deuda, con el propósito de obtener rendimientos provenientes de las fluctuaciones del precio o de los flujos contractuales del título durante su vigencia; estos instrumentos de deuda son títulos de renta fija que le otorgan a su tenedor la calidad de acreedor frente al emisor del título.</w:t>
      </w:r>
    </w:p>
    <w:p w14:paraId="7B42336E" w14:textId="77777777" w:rsidR="00294AFD" w:rsidRPr="0031578D" w:rsidRDefault="00294AFD" w:rsidP="00AB4D08">
      <w:pPr>
        <w:pStyle w:val="Prrafodelista"/>
        <w:spacing w:after="0" w:line="240" w:lineRule="auto"/>
        <w:ind w:left="567"/>
        <w:jc w:val="both"/>
        <w:rPr>
          <w:rFonts w:ascii="Times New Roman" w:eastAsia="Arial" w:hAnsi="Times New Roman"/>
          <w:sz w:val="24"/>
          <w:szCs w:val="24"/>
        </w:rPr>
      </w:pPr>
    </w:p>
    <w:p w14:paraId="54EC5012" w14:textId="77777777" w:rsidR="00294AFD" w:rsidRPr="0031578D" w:rsidRDefault="00294AFD"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inversiones se miden por el valor del mercado, si la inversión no tiene valor de mercado, se mide por el precio de la transacción.  Estas inversiones se reconocen por el costo amortizado que corresponde al valor inicialmente reconocido más el rendimiento efectivo menos los pagos de capital e intereses, menos cualquier disminución por deterioro del valor.</w:t>
      </w:r>
    </w:p>
    <w:p w14:paraId="1063723B" w14:textId="77777777" w:rsidR="00294AFD" w:rsidRPr="0031578D" w:rsidRDefault="00294AFD" w:rsidP="00AB4D08">
      <w:pPr>
        <w:spacing w:after="0" w:line="240" w:lineRule="auto"/>
        <w:ind w:left="567"/>
        <w:contextualSpacing/>
        <w:jc w:val="both"/>
        <w:rPr>
          <w:rFonts w:ascii="Times New Roman" w:hAnsi="Times New Roman"/>
          <w:sz w:val="24"/>
          <w:szCs w:val="24"/>
        </w:rPr>
      </w:pPr>
    </w:p>
    <w:p w14:paraId="5BC3AB21" w14:textId="77777777" w:rsidR="00294AFD" w:rsidRPr="0031578D" w:rsidRDefault="00294AFD"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Son objeto de estimación de deterioro las inversiones de esta categoría cuando existe evidencia objetiva del incumplimiento de los pagos a cargo del emisor o del desmejoramiento de sus condiciones crediticias, que debe ser analizado al final de cada periodo y se debe reconocer de forma separada como un menor valor de la inversión, afectando el gasto en el resultado del periodo.</w:t>
      </w:r>
    </w:p>
    <w:p w14:paraId="093C3335" w14:textId="77777777" w:rsidR="00294AFD" w:rsidRPr="0031578D" w:rsidRDefault="00294AFD" w:rsidP="00AB4D08">
      <w:pPr>
        <w:spacing w:after="0" w:line="240" w:lineRule="auto"/>
        <w:ind w:left="567"/>
        <w:contextualSpacing/>
        <w:jc w:val="both"/>
        <w:rPr>
          <w:rFonts w:ascii="Times New Roman" w:hAnsi="Times New Roman"/>
          <w:sz w:val="24"/>
          <w:szCs w:val="24"/>
        </w:rPr>
      </w:pPr>
    </w:p>
    <w:p w14:paraId="2A2B9855" w14:textId="0569D458" w:rsidR="00294AFD" w:rsidRPr="0031578D" w:rsidRDefault="00294AFD" w:rsidP="00AB4D08">
      <w:pPr>
        <w:pStyle w:val="Prrafodelista"/>
        <w:numPr>
          <w:ilvl w:val="0"/>
          <w:numId w:val="41"/>
        </w:numPr>
        <w:pBdr>
          <w:top w:val="nil"/>
          <w:left w:val="nil"/>
          <w:bottom w:val="nil"/>
          <w:right w:val="nil"/>
          <w:between w:val="nil"/>
        </w:pBdr>
        <w:spacing w:line="240" w:lineRule="auto"/>
        <w:rPr>
          <w:rFonts w:ascii="Times New Roman" w:eastAsia="Arial" w:hAnsi="Times New Roman"/>
          <w:sz w:val="24"/>
          <w:szCs w:val="24"/>
        </w:rPr>
      </w:pPr>
      <w:r w:rsidRPr="0031578D">
        <w:rPr>
          <w:rFonts w:ascii="Times New Roman" w:eastAsia="Arial" w:hAnsi="Times New Roman"/>
          <w:sz w:val="24"/>
          <w:szCs w:val="24"/>
        </w:rPr>
        <w:t xml:space="preserve">Inversiones </w:t>
      </w:r>
      <w:r w:rsidR="00581BD8" w:rsidRPr="0031578D">
        <w:rPr>
          <w:rFonts w:ascii="Times New Roman" w:eastAsia="Arial" w:hAnsi="Times New Roman"/>
          <w:sz w:val="24"/>
          <w:szCs w:val="24"/>
        </w:rPr>
        <w:t>de administración de liquidez al</w:t>
      </w:r>
      <w:r w:rsidRPr="0031578D">
        <w:rPr>
          <w:rFonts w:ascii="Times New Roman" w:eastAsia="Arial" w:hAnsi="Times New Roman"/>
          <w:sz w:val="24"/>
          <w:szCs w:val="24"/>
        </w:rPr>
        <w:t xml:space="preserve"> costo</w:t>
      </w:r>
    </w:p>
    <w:p w14:paraId="4B04A500"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Corresponden a las inversiones que no tienen valor de mercado y que pueden ser instrumentos de patrimonio, con independencia de que se esperen o no negociar, siempre que no otorguen control, influencia significativa ni control conjunto.</w:t>
      </w:r>
    </w:p>
    <w:p w14:paraId="0C3AC406" w14:textId="77777777" w:rsidR="00294AFD" w:rsidRPr="0031578D" w:rsidRDefault="00294AFD"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457ED78C" w14:textId="77777777" w:rsidR="00294AFD" w:rsidRPr="0031578D" w:rsidRDefault="00294AFD"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Se reconoce como inversiones de administración de liquidez al costo, los recursos financieros colocados en instrumentos de patrimonio, que le otorgan al INSTITUTO DE DESARROLLO URBANO – IDU, los derechos participativos en los resultados de la entidad emisora.</w:t>
      </w:r>
    </w:p>
    <w:p w14:paraId="2E1FE6A2" w14:textId="77777777" w:rsidR="00294AFD" w:rsidRPr="0031578D" w:rsidRDefault="00294AFD"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18DFA75A" w14:textId="77777777" w:rsidR="00294AFD" w:rsidRPr="0031578D" w:rsidRDefault="00294AF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Estas inversiones se mantienen al costo y son objeto de estimación de deterioro; como mínimo al final de cada periodo contable serán objeto de estimación de deterioro las inversiones de esta categoría, cuando el valor de la participación en el patrimonio de la entidad receptora sea inferior al valor en libros, se reconoce en forma separada afectando el resultado del periodo.</w:t>
      </w:r>
    </w:p>
    <w:p w14:paraId="65851CAB" w14:textId="77777777" w:rsidR="00294AFD" w:rsidRPr="0031578D" w:rsidRDefault="00294AFD" w:rsidP="00AB4D08">
      <w:pPr>
        <w:spacing w:after="0" w:line="240" w:lineRule="auto"/>
        <w:ind w:left="567"/>
        <w:contextualSpacing/>
        <w:jc w:val="both"/>
        <w:rPr>
          <w:rFonts w:ascii="Times New Roman" w:hAnsi="Times New Roman"/>
          <w:sz w:val="24"/>
          <w:szCs w:val="24"/>
        </w:rPr>
      </w:pPr>
    </w:p>
    <w:p w14:paraId="15746460" w14:textId="47295D7A" w:rsidR="0015178C" w:rsidRPr="0031578D" w:rsidRDefault="00A02D0E"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Cuentas por cobrar</w:t>
      </w:r>
    </w:p>
    <w:p w14:paraId="24A07BBF" w14:textId="77777777" w:rsidR="00294AFD" w:rsidRPr="0031578D" w:rsidRDefault="00294AFD" w:rsidP="00AB4D08">
      <w:pPr>
        <w:pStyle w:val="Prrafodelista"/>
        <w:spacing w:after="0" w:line="240" w:lineRule="auto"/>
        <w:ind w:left="567"/>
        <w:jc w:val="both"/>
        <w:rPr>
          <w:rFonts w:ascii="Times New Roman" w:hAnsi="Times New Roman"/>
          <w:sz w:val="24"/>
          <w:szCs w:val="24"/>
        </w:rPr>
      </w:pPr>
    </w:p>
    <w:p w14:paraId="7530BF69" w14:textId="77777777" w:rsidR="00294AFD" w:rsidRPr="0031578D" w:rsidRDefault="00294AFD" w:rsidP="00AB4D08">
      <w:pPr>
        <w:tabs>
          <w:tab w:val="left" w:pos="567"/>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INSTITUTO DE DESARROLLO URBANO – IDU, reconoce como cuentas por cobrar, los derechos adquiridos en desarrollo de sus actividades, de los cuales se espera a futuro la entrada de un flujo financiero fijo o determinable, a través de efectivo, </w:t>
      </w:r>
      <w:r w:rsidRPr="0031578D">
        <w:rPr>
          <w:rFonts w:ascii="Times New Roman" w:eastAsia="Arial" w:hAnsi="Times New Roman"/>
          <w:sz w:val="24"/>
          <w:szCs w:val="24"/>
        </w:rPr>
        <w:lastRenderedPageBreak/>
        <w:t xml:space="preserve">equivalentes al efectivo u otro instrumento. Estas partidas incluyen los derechos originados en transacciones con y sin contraprestación. Las transacciones con contraprestación incluyen, entre otros, la venta de bienes y servicios, y las transacciones sin contraprestación incluyen, entre otros, las transferencias y las contribuciones. </w:t>
      </w:r>
    </w:p>
    <w:p w14:paraId="6A2C1468" w14:textId="77777777" w:rsidR="00294AFD" w:rsidRPr="0031578D" w:rsidRDefault="00294AFD" w:rsidP="00AB4D08">
      <w:pPr>
        <w:tabs>
          <w:tab w:val="left" w:pos="567"/>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3817BDF6" w14:textId="70A84C28" w:rsidR="00294AFD" w:rsidRPr="0031578D" w:rsidRDefault="00294AFD" w:rsidP="00AB4D08">
      <w:pPr>
        <w:tabs>
          <w:tab w:val="left" w:pos="567"/>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cuentas por cobrar se miden por el valor de la transacción. Con posterioridad al reconocimiento, las cuentas por cobrar se mantienen por el valor de la transacción.  Las cuentas por cobrar son objeto de estimaciones de deterioro cuando exista evidencia objetiva del incumplimiento de los pagos a cargo del deudor.  </w:t>
      </w:r>
    </w:p>
    <w:p w14:paraId="01DF5A97" w14:textId="77777777" w:rsidR="00294AFD" w:rsidRPr="0031578D" w:rsidRDefault="00294AFD"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contextualSpacing/>
        <w:jc w:val="both"/>
        <w:rPr>
          <w:rFonts w:ascii="Times New Roman" w:eastAsia="Arial" w:hAnsi="Times New Roman"/>
          <w:sz w:val="24"/>
          <w:szCs w:val="24"/>
        </w:rPr>
      </w:pPr>
    </w:p>
    <w:p w14:paraId="3BB8260E" w14:textId="70A30C9F" w:rsidR="00294AFD" w:rsidRPr="0031578D" w:rsidRDefault="00294AFD"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t xml:space="preserve">El deterioro corresponde al exceso del valor en libros de la cuenta por cobrar con respecto al valor presente de sus flujos de efectivo futuros estimados de la misma; para el efecto, se utiliza, como factor de descuento la tasa de interés de los </w:t>
      </w:r>
      <w:r w:rsidRPr="0031578D">
        <w:rPr>
          <w:rFonts w:ascii="Times New Roman" w:eastAsia="Arial" w:hAnsi="Times New Roman"/>
          <w:i/>
          <w:sz w:val="24"/>
          <w:szCs w:val="24"/>
        </w:rPr>
        <w:t>TES</w:t>
      </w:r>
      <w:r w:rsidRPr="0031578D">
        <w:rPr>
          <w:rFonts w:ascii="Times New Roman" w:eastAsia="Arial" w:hAnsi="Times New Roman"/>
          <w:sz w:val="24"/>
          <w:szCs w:val="24"/>
        </w:rPr>
        <w:t xml:space="preserve"> con plazo similar.</w:t>
      </w:r>
    </w:p>
    <w:p w14:paraId="2298AE7F" w14:textId="77777777" w:rsidR="00294AFD" w:rsidRPr="0031578D" w:rsidRDefault="00294AFD" w:rsidP="00AB4D08">
      <w:pPr>
        <w:pStyle w:val="Prrafodelista"/>
        <w:spacing w:after="0" w:line="240" w:lineRule="auto"/>
        <w:ind w:left="567"/>
        <w:jc w:val="both"/>
        <w:rPr>
          <w:rFonts w:ascii="Times New Roman" w:hAnsi="Times New Roman"/>
          <w:sz w:val="24"/>
          <w:szCs w:val="24"/>
        </w:rPr>
      </w:pPr>
    </w:p>
    <w:p w14:paraId="1526168A" w14:textId="77777777" w:rsidR="00294AFD" w:rsidRPr="0031578D" w:rsidRDefault="00294AFD"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reconocimiento del deterioro se realiza una vez al final del periodo contable, o cuando se requiera, para este cálculo se utilizan dos métodos, establecidos en la política contable:</w:t>
      </w:r>
    </w:p>
    <w:p w14:paraId="0D9ED78C" w14:textId="32485C70" w:rsidR="00294AFD" w:rsidRPr="0031578D" w:rsidRDefault="00294AFD" w:rsidP="00AB4D08">
      <w:pPr>
        <w:pStyle w:val="Prrafodelista"/>
        <w:numPr>
          <w:ilvl w:val="0"/>
          <w:numId w:val="40"/>
        </w:numPr>
        <w:pBdr>
          <w:top w:val="nil"/>
          <w:left w:val="nil"/>
          <w:bottom w:val="nil"/>
          <w:right w:val="nil"/>
          <w:between w:val="nil"/>
        </w:pBd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rFonts w:ascii="Times New Roman" w:eastAsia="Arial" w:hAnsi="Times New Roman"/>
          <w:sz w:val="24"/>
          <w:szCs w:val="24"/>
        </w:rPr>
      </w:pPr>
      <w:r w:rsidRPr="0031578D">
        <w:rPr>
          <w:rFonts w:ascii="Times New Roman" w:eastAsia="Arial" w:hAnsi="Times New Roman"/>
          <w:sz w:val="24"/>
          <w:szCs w:val="24"/>
        </w:rPr>
        <w:t>Método Individual</w:t>
      </w:r>
    </w:p>
    <w:p w14:paraId="18461E9E" w14:textId="38A32DE5" w:rsidR="00294AFD" w:rsidRPr="0031578D" w:rsidRDefault="00294AFD" w:rsidP="00AB4D08">
      <w:pPr>
        <w:pStyle w:val="Prrafodelista"/>
        <w:numPr>
          <w:ilvl w:val="0"/>
          <w:numId w:val="40"/>
        </w:numPr>
        <w:tabs>
          <w:tab w:val="left" w:pos="567"/>
        </w:tabs>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Método colectivo</w:t>
      </w:r>
    </w:p>
    <w:p w14:paraId="6DE27C89" w14:textId="77777777" w:rsidR="0089388F" w:rsidRPr="0031578D" w:rsidRDefault="0089388F" w:rsidP="00AB4D08">
      <w:pPr>
        <w:spacing w:line="240" w:lineRule="auto"/>
        <w:ind w:left="567"/>
        <w:contextualSpacing/>
        <w:jc w:val="both"/>
        <w:rPr>
          <w:rFonts w:ascii="Times New Roman" w:eastAsia="Arial" w:hAnsi="Times New Roman"/>
          <w:sz w:val="24"/>
          <w:szCs w:val="24"/>
        </w:rPr>
      </w:pPr>
    </w:p>
    <w:p w14:paraId="1015B39C" w14:textId="28380DA5" w:rsidR="0089388F" w:rsidRPr="0031578D" w:rsidRDefault="0089388F"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Dado su origen y características, las cuentas por cobrar por concepto de ingresos por transferencias no son objeto de evaluación de deterioro.</w:t>
      </w:r>
    </w:p>
    <w:p w14:paraId="67FAEEB7" w14:textId="77777777" w:rsidR="0089388F" w:rsidRPr="0031578D" w:rsidRDefault="0089388F"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deja de reconocer una cuenta por cobrar cuando:</w:t>
      </w:r>
    </w:p>
    <w:p w14:paraId="6DAAE6FF" w14:textId="6BA6ECE4" w:rsidR="0089388F" w:rsidRPr="0031578D" w:rsidRDefault="0089388F" w:rsidP="00AB4D08">
      <w:pPr>
        <w:pStyle w:val="Prrafodelista"/>
        <w:numPr>
          <w:ilvl w:val="0"/>
          <w:numId w:val="40"/>
        </w:numPr>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rFonts w:ascii="Times New Roman" w:eastAsia="Arial" w:hAnsi="Times New Roman"/>
          <w:sz w:val="24"/>
          <w:szCs w:val="24"/>
        </w:rPr>
      </w:pPr>
      <w:r w:rsidRPr="0031578D">
        <w:rPr>
          <w:rFonts w:ascii="Times New Roman" w:eastAsia="Arial" w:hAnsi="Times New Roman"/>
          <w:sz w:val="24"/>
          <w:szCs w:val="24"/>
        </w:rPr>
        <w:t>El cobro no es jurídicamente viable, para su reconocimiento en los estados financieros de la entidad, debe ser analizado cada caso que se presente.</w:t>
      </w:r>
    </w:p>
    <w:p w14:paraId="506CC5D0" w14:textId="79B4F05D" w:rsidR="0089388F" w:rsidRPr="0031578D" w:rsidRDefault="0089388F" w:rsidP="00AB4D08">
      <w:pPr>
        <w:pStyle w:val="Prrafodelista"/>
        <w:numPr>
          <w:ilvl w:val="0"/>
          <w:numId w:val="40"/>
        </w:numPr>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rFonts w:ascii="Times New Roman" w:eastAsia="Arial" w:hAnsi="Times New Roman"/>
          <w:sz w:val="24"/>
          <w:szCs w:val="24"/>
        </w:rPr>
      </w:pPr>
      <w:r w:rsidRPr="0031578D">
        <w:rPr>
          <w:rFonts w:ascii="Times New Roman" w:eastAsia="Arial" w:hAnsi="Times New Roman"/>
          <w:sz w:val="24"/>
          <w:szCs w:val="24"/>
        </w:rPr>
        <w:t>Por costo beneficio.</w:t>
      </w:r>
    </w:p>
    <w:p w14:paraId="77ED9C18" w14:textId="5118C4BD" w:rsidR="0089388F" w:rsidRPr="0031578D" w:rsidRDefault="0089388F" w:rsidP="00AB4D08">
      <w:pPr>
        <w:pStyle w:val="Prrafodelista"/>
        <w:numPr>
          <w:ilvl w:val="0"/>
          <w:numId w:val="40"/>
        </w:num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rFonts w:ascii="Times New Roman" w:eastAsia="Arial" w:hAnsi="Times New Roman"/>
          <w:sz w:val="24"/>
          <w:szCs w:val="24"/>
        </w:rPr>
      </w:pPr>
      <w:r w:rsidRPr="0031578D">
        <w:rPr>
          <w:rFonts w:ascii="Times New Roman" w:eastAsia="Arial" w:hAnsi="Times New Roman"/>
          <w:sz w:val="24"/>
          <w:szCs w:val="24"/>
        </w:rPr>
        <w:t>Por remisibilidad.</w:t>
      </w:r>
    </w:p>
    <w:p w14:paraId="718A3542" w14:textId="097B9BCB" w:rsidR="0089388F" w:rsidRPr="0031578D" w:rsidRDefault="0089388F" w:rsidP="00AB4D08">
      <w:pPr>
        <w:pStyle w:val="Prrafodelista"/>
        <w:numPr>
          <w:ilvl w:val="0"/>
          <w:numId w:val="40"/>
        </w:num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rFonts w:ascii="Times New Roman" w:eastAsia="Arial" w:hAnsi="Times New Roman"/>
          <w:sz w:val="24"/>
          <w:szCs w:val="24"/>
        </w:rPr>
      </w:pPr>
      <w:r w:rsidRPr="0031578D">
        <w:rPr>
          <w:rFonts w:ascii="Times New Roman" w:eastAsia="Arial" w:hAnsi="Times New Roman"/>
          <w:sz w:val="24"/>
          <w:szCs w:val="24"/>
        </w:rPr>
        <w:t>Todas aquellas situaciones que afecten la cartera de la entidad.</w:t>
      </w:r>
    </w:p>
    <w:p w14:paraId="5E2A1E95" w14:textId="77777777" w:rsidR="0089388F" w:rsidRPr="0031578D" w:rsidRDefault="0089388F" w:rsidP="00AB4D08">
      <w:pPr>
        <w:tabs>
          <w:tab w:val="left" w:pos="0"/>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Para el efecto, se disminuye el valor en libros de la cuenta por cobrar, afectando el estado de resultados del periodo. </w:t>
      </w:r>
    </w:p>
    <w:p w14:paraId="23626050" w14:textId="77777777" w:rsidR="0089388F" w:rsidRPr="0031578D" w:rsidRDefault="0089388F" w:rsidP="00AB4D08">
      <w:pPr>
        <w:pStyle w:val="Prrafodelista"/>
        <w:spacing w:after="0" w:line="240" w:lineRule="auto"/>
        <w:ind w:left="567"/>
        <w:jc w:val="both"/>
        <w:rPr>
          <w:rFonts w:ascii="Times New Roman" w:eastAsia="Arial" w:hAnsi="Times New Roman"/>
          <w:sz w:val="24"/>
          <w:szCs w:val="24"/>
        </w:rPr>
      </w:pPr>
    </w:p>
    <w:p w14:paraId="7A905B9A" w14:textId="1FE6AB47" w:rsidR="00A02D0E" w:rsidRPr="0031578D" w:rsidRDefault="00A02D0E" w:rsidP="00AB4D08">
      <w:pPr>
        <w:pStyle w:val="Prrafodelista"/>
        <w:numPr>
          <w:ilvl w:val="0"/>
          <w:numId w:val="4"/>
        </w:numPr>
        <w:spacing w:after="0" w:line="240" w:lineRule="auto"/>
        <w:ind w:left="567" w:firstLine="0"/>
        <w:jc w:val="both"/>
        <w:rPr>
          <w:rFonts w:ascii="Times New Roman" w:eastAsia="Arial" w:hAnsi="Times New Roman"/>
          <w:sz w:val="24"/>
          <w:szCs w:val="24"/>
        </w:rPr>
      </w:pPr>
      <w:r w:rsidRPr="0031578D">
        <w:rPr>
          <w:rFonts w:ascii="Times New Roman" w:eastAsia="Arial" w:hAnsi="Times New Roman"/>
          <w:sz w:val="24"/>
          <w:szCs w:val="24"/>
        </w:rPr>
        <w:t>Inventarios</w:t>
      </w:r>
    </w:p>
    <w:p w14:paraId="7AEC47DF" w14:textId="77777777" w:rsidR="00F06160" w:rsidRPr="0031578D" w:rsidRDefault="00F06160" w:rsidP="00AB4D08">
      <w:pPr>
        <w:pStyle w:val="Prrafodelista"/>
        <w:spacing w:after="0" w:line="240" w:lineRule="auto"/>
        <w:ind w:left="567"/>
        <w:jc w:val="both"/>
        <w:rPr>
          <w:rFonts w:ascii="Times New Roman" w:eastAsia="Arial" w:hAnsi="Times New Roman"/>
          <w:sz w:val="24"/>
          <w:szCs w:val="24"/>
        </w:rPr>
      </w:pPr>
    </w:p>
    <w:p w14:paraId="053F4132"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INSTITUTO DE DESARROLLO URBANO – IDU, reconoce como inventarios, los activos que resultan como sobrantes, de los predios que se compran para la construcción de la infraestructura vial, en desarrollo de su misionalidad  y que son reportados por la Dirección Técnica de Predios. </w:t>
      </w:r>
    </w:p>
    <w:p w14:paraId="66B4D6E1"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42A46D06"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INSTITUTO DE DESARROLLO URBANO – IDU, mide los inventarios por el costo de adquisición relativo al costo del terreno. </w:t>
      </w:r>
    </w:p>
    <w:p w14:paraId="38F75F9D"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051BDB1D"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Con posterioridad al reconocimiento inicial, los inventarios que se esperan comercializar se miden al menor valor entre el costo y el valor neto de realización.</w:t>
      </w:r>
    </w:p>
    <w:p w14:paraId="18B1892E"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6DE8728A"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Si el valor neto de realización o el costo de reposición, según corresponda, es inferior al costo del inventario, la diferencia corresponde al deterioro de este último.  El reconocimiento inicial del deterioro del inventario, así como cualquier aumento de este, afecta el gasto en el resultado del periodo. </w:t>
      </w:r>
    </w:p>
    <w:p w14:paraId="097F0741"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69460A79" w14:textId="77777777" w:rsidR="00F06160" w:rsidRPr="0031578D" w:rsidRDefault="00F06160" w:rsidP="00AB4D08">
      <w:pPr>
        <w:tabs>
          <w:tab w:val="left" w:pos="567"/>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Cuando las circunstancias que causaron el deterioro dejen de existir, se reversa su valor, de manera que el nuevo valor contable sea el menor entre el costo y el valor neto de realización o costo de reposición, según corresponda. El valor del deterioro que se reversa se reconoce como ingreso en el resultado del periodo</w:t>
      </w:r>
    </w:p>
    <w:p w14:paraId="3F0CB732" w14:textId="77777777" w:rsidR="00F06160" w:rsidRPr="0031578D" w:rsidRDefault="00F06160" w:rsidP="00AB4D08">
      <w:pPr>
        <w:tabs>
          <w:tab w:val="left" w:pos="851"/>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after="0" w:line="240" w:lineRule="auto"/>
        <w:ind w:left="567"/>
        <w:contextualSpacing/>
        <w:jc w:val="both"/>
        <w:rPr>
          <w:rFonts w:ascii="Times New Roman" w:eastAsia="Arial" w:hAnsi="Times New Roman"/>
          <w:sz w:val="24"/>
          <w:szCs w:val="24"/>
        </w:rPr>
      </w:pPr>
    </w:p>
    <w:p w14:paraId="558E25A7" w14:textId="65DCE0F0" w:rsidR="00F06160" w:rsidRPr="0031578D" w:rsidRDefault="00F06160" w:rsidP="00AB4D08">
      <w:pPr>
        <w:pStyle w:val="Prrafodelista"/>
        <w:tabs>
          <w:tab w:val="left" w:pos="851"/>
        </w:tabs>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Los inventarios que se distribuyen gratuitamente, se reconocen como gasto en el resultado del periodo, cuando se distribuya el bien.</w:t>
      </w:r>
    </w:p>
    <w:p w14:paraId="49476A62" w14:textId="77777777" w:rsidR="00F06160" w:rsidRPr="0031578D" w:rsidRDefault="00F06160" w:rsidP="00AB4D08">
      <w:pPr>
        <w:pStyle w:val="Prrafodelista"/>
        <w:tabs>
          <w:tab w:val="left" w:pos="851"/>
        </w:tabs>
        <w:spacing w:after="0" w:line="240" w:lineRule="auto"/>
        <w:ind w:left="567"/>
        <w:jc w:val="both"/>
        <w:rPr>
          <w:rFonts w:ascii="Times New Roman" w:eastAsia="Arial" w:hAnsi="Times New Roman"/>
          <w:sz w:val="24"/>
          <w:szCs w:val="24"/>
        </w:rPr>
      </w:pPr>
    </w:p>
    <w:p w14:paraId="7698747C" w14:textId="6AADEDCD" w:rsidR="0089388F" w:rsidRPr="0031578D" w:rsidRDefault="0089388F" w:rsidP="00AB4D08">
      <w:pPr>
        <w:tabs>
          <w:tab w:val="left" w:pos="0"/>
          <w:tab w:val="left" w:pos="851"/>
          <w:tab w:val="left" w:pos="1416"/>
          <w:tab w:val="left" w:pos="1985"/>
          <w:tab w:val="left" w:pos="2832"/>
          <w:tab w:val="left" w:pos="3540"/>
          <w:tab w:val="left" w:pos="4248"/>
          <w:tab w:val="left" w:pos="4956"/>
          <w:tab w:val="left" w:pos="5664"/>
          <w:tab w:val="left" w:pos="6372"/>
          <w:tab w:val="left" w:pos="7080"/>
          <w:tab w:val="left" w:pos="7788"/>
          <w:tab w:val="left" w:pos="8496"/>
          <w:tab w:val="left" w:pos="8640"/>
        </w:tabs>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baja en cuentas de inventarios se realizara cuando se entrega a título gratuito de manera definitiva, implica el retiro de este y se reconoce como gasto en el resultado del periodo del INSTITUTO DE DESARROLLO URBANO – IDU.</w:t>
      </w:r>
    </w:p>
    <w:p w14:paraId="66146D8C" w14:textId="00FA3639" w:rsidR="0089388F" w:rsidRPr="0031578D" w:rsidRDefault="0089388F" w:rsidP="00AB4D08">
      <w:pPr>
        <w:pStyle w:val="Prrafodelista"/>
        <w:tabs>
          <w:tab w:val="left" w:pos="851"/>
        </w:tabs>
        <w:spacing w:after="0" w:line="240" w:lineRule="auto"/>
        <w:ind w:left="567"/>
        <w:jc w:val="both"/>
        <w:rPr>
          <w:rFonts w:ascii="Times New Roman" w:eastAsia="Arial" w:hAnsi="Times New Roman"/>
          <w:sz w:val="24"/>
          <w:szCs w:val="24"/>
        </w:rPr>
      </w:pPr>
    </w:p>
    <w:p w14:paraId="627E6751" w14:textId="7C6645CA" w:rsidR="00077300" w:rsidRPr="0031578D" w:rsidRDefault="00077300" w:rsidP="00AB4D08">
      <w:pPr>
        <w:pStyle w:val="Prrafodelista"/>
        <w:numPr>
          <w:ilvl w:val="0"/>
          <w:numId w:val="4"/>
        </w:numPr>
        <w:tabs>
          <w:tab w:val="left" w:pos="851"/>
        </w:tabs>
        <w:spacing w:after="0" w:line="240" w:lineRule="auto"/>
        <w:ind w:left="567" w:firstLine="0"/>
        <w:jc w:val="both"/>
        <w:rPr>
          <w:rFonts w:ascii="Times New Roman" w:eastAsia="Arial" w:hAnsi="Times New Roman"/>
          <w:sz w:val="24"/>
          <w:szCs w:val="24"/>
        </w:rPr>
      </w:pPr>
      <w:r w:rsidRPr="0031578D">
        <w:rPr>
          <w:rFonts w:ascii="Times New Roman" w:eastAsia="Arial" w:hAnsi="Times New Roman"/>
          <w:sz w:val="24"/>
          <w:szCs w:val="24"/>
        </w:rPr>
        <w:t>Propiedades, planta y equipo</w:t>
      </w:r>
    </w:p>
    <w:p w14:paraId="12B53E2C" w14:textId="77777777" w:rsidR="00F06160" w:rsidRPr="0031578D" w:rsidRDefault="00F06160" w:rsidP="00AB4D08">
      <w:pPr>
        <w:pStyle w:val="Prrafodelista"/>
        <w:tabs>
          <w:tab w:val="left" w:pos="851"/>
        </w:tabs>
        <w:spacing w:after="0" w:line="240" w:lineRule="auto"/>
        <w:ind w:left="567"/>
        <w:jc w:val="both"/>
        <w:rPr>
          <w:rFonts w:ascii="Times New Roman" w:eastAsia="Arial" w:hAnsi="Times New Roman"/>
          <w:sz w:val="24"/>
          <w:szCs w:val="24"/>
        </w:rPr>
      </w:pPr>
    </w:p>
    <w:p w14:paraId="51C5C0DD" w14:textId="77777777" w:rsidR="00F06160" w:rsidRPr="0031578D" w:rsidRDefault="00F06160" w:rsidP="00AB4D08">
      <w:pPr>
        <w:tabs>
          <w:tab w:val="left" w:pos="851"/>
        </w:tabs>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reconoce como propiedad, planta y equipo los activos tangibles empleados para la prestación de servicios y para propósitos administrativos los cuales no están disponibles para la venta y se prevé usarlos durante más de un periodo contable, con aplicación de los criterios de definición y reconocimiento para los activos.</w:t>
      </w:r>
    </w:p>
    <w:p w14:paraId="2A84CE74"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43F10EC2"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Los bienes adquiridos o recibidos en una transacción con o sin contraprestación, cuyo valor sea igual o superior a dos (2) SMMLV, son reconocidos por el INSTITUTO DE DESARROLLO URBANO – IDU, de acuerdo a la clasificación de propiedades, planta y equipo; es decir que, los bienes que son adquiridos por un menor valor al señalado anteriormente, se reconocen en el resultado del periodo y se controlarán administrativamente, cuando a ello hubiera lugar.  Para las adiciones y mejoras que se realicen al mismo, se registran conservando el reconocimiento inicial del bien. </w:t>
      </w:r>
    </w:p>
    <w:p w14:paraId="11D0016B"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73D330A6"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Adicionalmente, el INSTITUTO DE DESARROLLO URBANO – IDU, evalúa el control y los riesgos que tiene sobre los bienes, independiente de la titularidad jurídica que se tiene sobre los mismos, si:</w:t>
      </w:r>
    </w:p>
    <w:p w14:paraId="5E36789E" w14:textId="77777777" w:rsidR="00F06160" w:rsidRPr="0031578D" w:rsidRDefault="00F06160" w:rsidP="00AB4D08">
      <w:pPr>
        <w:pBdr>
          <w:top w:val="nil"/>
          <w:left w:val="nil"/>
          <w:bottom w:val="nil"/>
          <w:right w:val="nil"/>
          <w:between w:val="nil"/>
        </w:pBdr>
        <w:spacing w:after="0" w:line="240" w:lineRule="auto"/>
        <w:contextualSpacing/>
        <w:jc w:val="both"/>
        <w:rPr>
          <w:rFonts w:ascii="Times New Roman" w:eastAsia="Arial" w:hAnsi="Times New Roman"/>
          <w:sz w:val="24"/>
          <w:szCs w:val="24"/>
        </w:rPr>
      </w:pPr>
    </w:p>
    <w:p w14:paraId="3E3BCCD3" w14:textId="69E28325"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Decide el propósito para el cual se destina el activo</w:t>
      </w:r>
    </w:p>
    <w:p w14:paraId="172D9146" w14:textId="3D267A45"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Obtiene sustancialmente el potencial de servicio o los beneficios económicos futuros</w:t>
      </w:r>
    </w:p>
    <w:p w14:paraId="4A2ADD02" w14:textId="7454CFF7"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Asume sustancialmente los riesgos asociados al activo</w:t>
      </w:r>
    </w:p>
    <w:p w14:paraId="696D6081" w14:textId="5CD19E25" w:rsidR="00F06160" w:rsidRPr="0031578D" w:rsidRDefault="00F06160" w:rsidP="00AB4D08">
      <w:pPr>
        <w:pStyle w:val="Prrafodelista"/>
        <w:numPr>
          <w:ilvl w:val="0"/>
          <w:numId w:val="39"/>
        </w:numPr>
        <w:pBdr>
          <w:top w:val="nil"/>
          <w:left w:val="nil"/>
          <w:bottom w:val="nil"/>
          <w:right w:val="nil"/>
          <w:between w:val="nil"/>
        </w:pBdr>
        <w:spacing w:line="240" w:lineRule="auto"/>
        <w:jc w:val="both"/>
        <w:rPr>
          <w:rFonts w:ascii="Times New Roman" w:eastAsia="Arial" w:hAnsi="Times New Roman"/>
          <w:sz w:val="24"/>
          <w:szCs w:val="24"/>
        </w:rPr>
      </w:pPr>
      <w:r w:rsidRPr="0031578D">
        <w:rPr>
          <w:rFonts w:ascii="Times New Roman" w:eastAsia="Arial" w:hAnsi="Times New Roman"/>
          <w:sz w:val="24"/>
          <w:szCs w:val="24"/>
        </w:rPr>
        <w:t>Permite el acceso al activo o la capacidad de un tercero para negar o restringir su uso</w:t>
      </w:r>
    </w:p>
    <w:p w14:paraId="65050EB2"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lastRenderedPageBreak/>
        <w:t>También se reconoce como propiedades planta y equipo, los bienes inmuebles con uso futuro indeterminado.</w:t>
      </w:r>
    </w:p>
    <w:p w14:paraId="0E11B8AE"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Los terrenos sobre los que se construyan las propiedades, planta y equipo se reconocen por separado.</w:t>
      </w:r>
    </w:p>
    <w:p w14:paraId="58E6A1E8"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22DE320D"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adiciones y mejoras efectuadas a una propiedad, planta y equipo se reconocen como mayor valor de esta y, en consecuencia, afecta el cálculo futuro de la depreciación. Las adiciones y mejoras son erogaciones en que incurre el INSTITUTO DE DESARROLLO URBANO – IDU, para aumentar la vida útil del activo, ampliar su capacidad productiva y eficiencia operativa, mejorar la calidad de los productos y servicios, o reducir significativamente los costos. </w:t>
      </w:r>
    </w:p>
    <w:p w14:paraId="4132DE5C"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57894DC1"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En el reconocimiento inicial el INSTITUTO DE DESARROLLO URBANO – IDU, mide las propiedades, planta y equipo al costo, el cual comprende, entre otros, lo siguiente: el precio de adquisición; los aranceles de importación y los impuestos indirectos no recuperables que recaigan sobre la adquisición; los costos de beneficios a los empleados que procedan directamente de la construcción o adquisición de un elemento de propiedades, planta y equipo; los costos de preparación del lugar para su ubicación física; los costos de entrega inicial y los de manipulación o transporte posterior; los costos de instalación y montaje; los costos de comprobación del adecuado funcionamiento del activo originados después de deducir el valor neto de la venta de los elementos producidos durante el proceso de instalación y puesta a punto del activo; los honorarios profesionales; así como todos los costos directamente atribuibles a la ubicación del activo en el lugar y en las condiciones necesarias para que pueda operar de la forma prevista por la administración del INSTITUTO DE DESARROLLO URBANO – IDU.</w:t>
      </w:r>
    </w:p>
    <w:p w14:paraId="4978D940"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3C335AEB"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Cualquier descuento o rebaja del precio se reconoce como un menor valor de las propiedades, planta y equipo, y afecta la base de depreciación.</w:t>
      </w:r>
    </w:p>
    <w:p w14:paraId="1933CE14"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73758D89"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Después del reconocimiento y medición inicial, el INSTITUTO DE DESARROLLO URBANO – IDU, realiza la medición posterior de sus propiedades, planta y equipo, al costo menos la depreciación acumulada menos el deterioro acumulado.</w:t>
      </w:r>
    </w:p>
    <w:p w14:paraId="7FC3AA6A"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bookmarkStart w:id="17" w:name="_30j0zll" w:colFirst="0" w:colLast="0"/>
      <w:bookmarkEnd w:id="17"/>
    </w:p>
    <w:p w14:paraId="106DA936" w14:textId="483498C2" w:rsidR="00F06160" w:rsidRPr="0031578D" w:rsidRDefault="00E62215"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Depreciación</w:t>
      </w:r>
    </w:p>
    <w:p w14:paraId="78D2EF14"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Para la determinación de la depreciación, el INSTITUTO DE DESARROLLO URBANO – IDU, utiliza el método de depreciación de línea recta, la cual inicia cuando el bien esté disponible para su uso.</w:t>
      </w:r>
    </w:p>
    <w:p w14:paraId="4F2AD936"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39DBCBB4"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Son objeto de depreciación aquellos bienes que pierden su capacidad normal de operación durante su vida útil, tales como: los bienes muebles en bodega que están disponibles para ser utilizados en la forma prevista por el INSTITUTO DE DESARROLLO URBANO – IDU. </w:t>
      </w:r>
    </w:p>
    <w:p w14:paraId="40227F20"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p>
    <w:p w14:paraId="0673B416" w14:textId="77777777" w:rsidR="00F06160" w:rsidRPr="0031578D" w:rsidRDefault="00F06160"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Por otra parte, no son objeto de depreciación, la maquinaria y equipo en montaje, las propiedades, planta y equipo en tránsito, teniendo en cuenta que los bienes registrados en </w:t>
      </w:r>
      <w:r w:rsidRPr="0031578D">
        <w:rPr>
          <w:rFonts w:ascii="Times New Roman" w:eastAsia="Arial" w:hAnsi="Times New Roman"/>
          <w:sz w:val="24"/>
          <w:szCs w:val="24"/>
        </w:rPr>
        <w:lastRenderedPageBreak/>
        <w:t>estas cuentas, aún no se han formado y no están disponibles para ser utilizados en lo previsto por el INSTITUTO DE DESARROLLO URBANO – IDU.</w:t>
      </w:r>
    </w:p>
    <w:p w14:paraId="14CA8276" w14:textId="77777777" w:rsidR="00F06160" w:rsidRPr="0031578D" w:rsidRDefault="00F06160" w:rsidP="00AB4D08">
      <w:pPr>
        <w:pStyle w:val="Prrafodelista"/>
        <w:spacing w:after="0" w:line="240" w:lineRule="auto"/>
        <w:ind w:left="567"/>
        <w:jc w:val="both"/>
        <w:rPr>
          <w:rFonts w:ascii="Times New Roman" w:eastAsia="Arial" w:hAnsi="Times New Roman"/>
          <w:b/>
          <w:sz w:val="24"/>
          <w:szCs w:val="24"/>
        </w:rPr>
      </w:pPr>
      <w:bookmarkStart w:id="18" w:name="_1fob9te" w:colFirst="0" w:colLast="0"/>
      <w:bookmarkStart w:id="19" w:name="_2778vs2sqtam" w:colFirst="0" w:colLast="0"/>
      <w:bookmarkEnd w:id="18"/>
      <w:bookmarkEnd w:id="19"/>
    </w:p>
    <w:p w14:paraId="1FD07215" w14:textId="1D4706F9" w:rsidR="00F06160" w:rsidRPr="0031578D" w:rsidRDefault="00E62215"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Vidas útiles estimadas</w:t>
      </w:r>
    </w:p>
    <w:p w14:paraId="380CE6C6" w14:textId="77777777" w:rsidR="00F06160" w:rsidRPr="0031578D" w:rsidRDefault="00F06160" w:rsidP="00AB4D08">
      <w:pPr>
        <w:spacing w:line="240" w:lineRule="auto"/>
        <w:ind w:left="567"/>
        <w:contextualSpacing/>
        <w:jc w:val="both"/>
        <w:rPr>
          <w:rFonts w:ascii="Times New Roman" w:eastAsia="Arial" w:hAnsi="Times New Roman"/>
          <w:sz w:val="24"/>
          <w:szCs w:val="24"/>
        </w:rPr>
      </w:pPr>
      <w:bookmarkStart w:id="20" w:name="_yidnbzgo9td1" w:colFirst="0" w:colLast="0"/>
      <w:bookmarkEnd w:id="20"/>
      <w:r w:rsidRPr="0031578D">
        <w:rPr>
          <w:rFonts w:ascii="Times New Roman" w:eastAsia="Arial" w:hAnsi="Times New Roman"/>
          <w:sz w:val="24"/>
          <w:szCs w:val="24"/>
        </w:rPr>
        <w:t>Debe entenderse la vida útil como el tiempo en el cual el INSTITUTO DE DESARROLLO URBANO – IDU, espera obtener los beneficios económicos o el potencial de servicio, derivados de un activo. Para la estimación de la vida útil, se evaluaron los siguientes factores:</w:t>
      </w:r>
    </w:p>
    <w:p w14:paraId="61FE047B" w14:textId="4E339754"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Uso previsto del activo </w:t>
      </w:r>
    </w:p>
    <w:p w14:paraId="68FED89E" w14:textId="04D2EE7D"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Desgaste físico esperado del bien, efectuando el estudio de factores operativos </w:t>
      </w:r>
    </w:p>
    <w:p w14:paraId="13C921DB" w14:textId="46E80690"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Programa de reparaciones y mantenimiento </w:t>
      </w:r>
    </w:p>
    <w:p w14:paraId="26249D16" w14:textId="36DEF811"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Adiciones y mejoras realizadas al bien </w:t>
      </w:r>
    </w:p>
    <w:p w14:paraId="65AB1641" w14:textId="70E8F0F2"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Obsolescencia técnica o comercial </w:t>
      </w:r>
    </w:p>
    <w:p w14:paraId="6F819D78" w14:textId="02DD109C" w:rsidR="00F06160" w:rsidRPr="0031578D" w:rsidRDefault="00F06160"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 xml:space="preserve">Indicaciones sobre la duración aproximada según el uso </w:t>
      </w:r>
    </w:p>
    <w:p w14:paraId="5A82E6F9" w14:textId="576B7F1C" w:rsidR="00F06160" w:rsidRPr="0031578D" w:rsidRDefault="00F06160" w:rsidP="00AB4D08">
      <w:pPr>
        <w:pStyle w:val="Prrafodelista"/>
        <w:numPr>
          <w:ilvl w:val="0"/>
          <w:numId w:val="39"/>
        </w:numPr>
        <w:pBdr>
          <w:top w:val="nil"/>
          <w:left w:val="nil"/>
          <w:bottom w:val="nil"/>
          <w:right w:val="nil"/>
          <w:between w:val="nil"/>
        </w:pBdr>
        <w:spacing w:line="240" w:lineRule="auto"/>
        <w:jc w:val="both"/>
        <w:rPr>
          <w:rFonts w:ascii="Times New Roman" w:eastAsia="Arial" w:hAnsi="Times New Roman"/>
          <w:sz w:val="24"/>
          <w:szCs w:val="24"/>
        </w:rPr>
      </w:pPr>
      <w:r w:rsidRPr="0031578D">
        <w:rPr>
          <w:rFonts w:ascii="Times New Roman" w:eastAsia="Arial" w:hAnsi="Times New Roman"/>
          <w:sz w:val="24"/>
          <w:szCs w:val="24"/>
        </w:rPr>
        <w:t>Políticas de renovación tecnológica del INSTITUTO DE DESARROLLO URBANO – IDU.</w:t>
      </w:r>
    </w:p>
    <w:p w14:paraId="4803D4F0" w14:textId="77777777" w:rsidR="00581BD8" w:rsidRPr="0031578D" w:rsidRDefault="00581BD8" w:rsidP="00AB4D08">
      <w:pPr>
        <w:pStyle w:val="Prrafodelista"/>
        <w:pBdr>
          <w:top w:val="nil"/>
          <w:left w:val="nil"/>
          <w:bottom w:val="nil"/>
          <w:right w:val="nil"/>
          <w:between w:val="nil"/>
        </w:pBdr>
        <w:spacing w:line="240" w:lineRule="auto"/>
        <w:ind w:left="1575"/>
        <w:jc w:val="both"/>
        <w:rPr>
          <w:rFonts w:ascii="Times New Roman" w:eastAsia="Arial" w:hAnsi="Times New Roman"/>
          <w:sz w:val="24"/>
          <w:szCs w:val="24"/>
        </w:rPr>
      </w:pPr>
    </w:p>
    <w:p w14:paraId="4E1ED08F" w14:textId="3FFC2C6F" w:rsidR="00F06160" w:rsidRPr="0031578D" w:rsidRDefault="00F06160"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t>Con base en este análisis, se definió para el marco normativo la vida útil estimada para los bienes de propiedades, planta y equipo, así:</w:t>
      </w:r>
    </w:p>
    <w:p w14:paraId="0F33EF18" w14:textId="77777777" w:rsidR="00F06160" w:rsidRPr="0031578D" w:rsidRDefault="00F06160" w:rsidP="00AB4D08">
      <w:pPr>
        <w:pStyle w:val="Prrafodelista"/>
        <w:spacing w:after="0" w:line="240" w:lineRule="auto"/>
        <w:ind w:left="567"/>
        <w:jc w:val="both"/>
        <w:rPr>
          <w:rFonts w:ascii="Times New Roman" w:hAnsi="Times New Roman"/>
          <w:sz w:val="24"/>
          <w:szCs w:val="24"/>
        </w:rPr>
      </w:pPr>
    </w:p>
    <w:tbl>
      <w:tblPr>
        <w:tblW w:w="8693" w:type="dxa"/>
        <w:tblInd w:w="562" w:type="dxa"/>
        <w:tblCellMar>
          <w:left w:w="70" w:type="dxa"/>
          <w:right w:w="70" w:type="dxa"/>
        </w:tblCellMar>
        <w:tblLook w:val="04A0" w:firstRow="1" w:lastRow="0" w:firstColumn="1" w:lastColumn="0" w:noHBand="0" w:noVBand="1"/>
      </w:tblPr>
      <w:tblGrid>
        <w:gridCol w:w="4536"/>
        <w:gridCol w:w="2410"/>
        <w:gridCol w:w="1747"/>
      </w:tblGrid>
      <w:tr w:rsidR="003473EA" w:rsidRPr="0031578D" w14:paraId="35364B1E" w14:textId="77777777" w:rsidTr="00E62215">
        <w:trPr>
          <w:trHeight w:val="420"/>
        </w:trPr>
        <w:tc>
          <w:tcPr>
            <w:tcW w:w="4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60E821" w14:textId="77777777" w:rsidR="003473EA" w:rsidRPr="0031578D" w:rsidRDefault="003473EA"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DESCRIPCIÓN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0EB60179" w14:textId="77777777" w:rsidR="003473EA" w:rsidRPr="0031578D" w:rsidRDefault="003473EA"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VIDA UTIL</w:t>
            </w:r>
          </w:p>
        </w:tc>
        <w:tc>
          <w:tcPr>
            <w:tcW w:w="1747" w:type="dxa"/>
            <w:tcBorders>
              <w:top w:val="single" w:sz="4" w:space="0" w:color="auto"/>
              <w:left w:val="nil"/>
              <w:bottom w:val="single" w:sz="4" w:space="0" w:color="auto"/>
              <w:right w:val="single" w:sz="4" w:space="0" w:color="auto"/>
            </w:tcBorders>
            <w:shd w:val="clear" w:color="000000" w:fill="D9D9D9"/>
            <w:vAlign w:val="center"/>
            <w:hideMark/>
          </w:tcPr>
          <w:p w14:paraId="77633D5F" w14:textId="77777777" w:rsidR="003473EA" w:rsidRPr="0031578D" w:rsidRDefault="003473EA"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VALOR RESIDUAL</w:t>
            </w:r>
          </w:p>
        </w:tc>
      </w:tr>
      <w:tr w:rsidR="003473EA" w:rsidRPr="0031578D" w14:paraId="7E0511D8"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7EEC7D0F"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Edificaciones</w:t>
            </w:r>
          </w:p>
        </w:tc>
        <w:tc>
          <w:tcPr>
            <w:tcW w:w="2410" w:type="dxa"/>
            <w:tcBorders>
              <w:top w:val="nil"/>
              <w:left w:val="nil"/>
              <w:bottom w:val="single" w:sz="4" w:space="0" w:color="auto"/>
              <w:right w:val="single" w:sz="4" w:space="0" w:color="auto"/>
            </w:tcBorders>
            <w:shd w:val="clear" w:color="auto" w:fill="auto"/>
            <w:vAlign w:val="center"/>
            <w:hideMark/>
          </w:tcPr>
          <w:p w14:paraId="5186AD5F"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50 y 100 años</w:t>
            </w:r>
          </w:p>
        </w:tc>
        <w:tc>
          <w:tcPr>
            <w:tcW w:w="1747" w:type="dxa"/>
            <w:tcBorders>
              <w:top w:val="nil"/>
              <w:left w:val="nil"/>
              <w:bottom w:val="single" w:sz="4" w:space="0" w:color="auto"/>
              <w:right w:val="single" w:sz="4" w:space="0" w:color="auto"/>
            </w:tcBorders>
            <w:shd w:val="clear" w:color="auto" w:fill="auto"/>
            <w:vAlign w:val="center"/>
            <w:hideMark/>
          </w:tcPr>
          <w:p w14:paraId="36B5F858"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06F269FE"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238A8F6B"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Redes, líneas y cables</w:t>
            </w:r>
          </w:p>
        </w:tc>
        <w:tc>
          <w:tcPr>
            <w:tcW w:w="2410" w:type="dxa"/>
            <w:tcBorders>
              <w:top w:val="nil"/>
              <w:left w:val="nil"/>
              <w:bottom w:val="single" w:sz="4" w:space="0" w:color="auto"/>
              <w:right w:val="single" w:sz="4" w:space="0" w:color="auto"/>
            </w:tcBorders>
            <w:shd w:val="clear" w:color="auto" w:fill="auto"/>
            <w:vAlign w:val="center"/>
            <w:hideMark/>
          </w:tcPr>
          <w:p w14:paraId="15ACD0C5"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25 y 30 años</w:t>
            </w:r>
          </w:p>
        </w:tc>
        <w:tc>
          <w:tcPr>
            <w:tcW w:w="1747" w:type="dxa"/>
            <w:tcBorders>
              <w:top w:val="nil"/>
              <w:left w:val="nil"/>
              <w:bottom w:val="single" w:sz="4" w:space="0" w:color="auto"/>
              <w:right w:val="single" w:sz="4" w:space="0" w:color="auto"/>
            </w:tcBorders>
            <w:shd w:val="clear" w:color="auto" w:fill="auto"/>
            <w:vAlign w:val="center"/>
            <w:hideMark/>
          </w:tcPr>
          <w:p w14:paraId="21D1C154"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0B8C3CD4"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1CD8EAC6"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Maquinaria y Equipo</w:t>
            </w:r>
          </w:p>
        </w:tc>
        <w:tc>
          <w:tcPr>
            <w:tcW w:w="2410" w:type="dxa"/>
            <w:tcBorders>
              <w:top w:val="nil"/>
              <w:left w:val="nil"/>
              <w:bottom w:val="single" w:sz="4" w:space="0" w:color="auto"/>
              <w:right w:val="single" w:sz="4" w:space="0" w:color="auto"/>
            </w:tcBorders>
            <w:shd w:val="clear" w:color="auto" w:fill="auto"/>
            <w:vAlign w:val="center"/>
            <w:hideMark/>
          </w:tcPr>
          <w:p w14:paraId="48B37BEE"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15 y 20 años</w:t>
            </w:r>
          </w:p>
        </w:tc>
        <w:tc>
          <w:tcPr>
            <w:tcW w:w="1747" w:type="dxa"/>
            <w:tcBorders>
              <w:top w:val="nil"/>
              <w:left w:val="nil"/>
              <w:bottom w:val="single" w:sz="4" w:space="0" w:color="auto"/>
              <w:right w:val="single" w:sz="4" w:space="0" w:color="auto"/>
            </w:tcBorders>
            <w:shd w:val="clear" w:color="auto" w:fill="auto"/>
            <w:vAlign w:val="center"/>
            <w:hideMark/>
          </w:tcPr>
          <w:p w14:paraId="28A636AC"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3235C215"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1E064A6A"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médico y científico</w:t>
            </w:r>
          </w:p>
        </w:tc>
        <w:tc>
          <w:tcPr>
            <w:tcW w:w="2410" w:type="dxa"/>
            <w:tcBorders>
              <w:top w:val="nil"/>
              <w:left w:val="nil"/>
              <w:bottom w:val="single" w:sz="4" w:space="0" w:color="auto"/>
              <w:right w:val="single" w:sz="4" w:space="0" w:color="auto"/>
            </w:tcBorders>
            <w:shd w:val="clear" w:color="auto" w:fill="auto"/>
            <w:vAlign w:val="center"/>
            <w:hideMark/>
          </w:tcPr>
          <w:p w14:paraId="72617D3A"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747" w:type="dxa"/>
            <w:tcBorders>
              <w:top w:val="nil"/>
              <w:left w:val="nil"/>
              <w:bottom w:val="single" w:sz="4" w:space="0" w:color="auto"/>
              <w:right w:val="single" w:sz="4" w:space="0" w:color="auto"/>
            </w:tcBorders>
            <w:shd w:val="clear" w:color="auto" w:fill="auto"/>
            <w:vAlign w:val="center"/>
            <w:hideMark/>
          </w:tcPr>
          <w:p w14:paraId="210E072B"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566D0AAA"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36361B7"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Muebles, enseres y equipo de oficina</w:t>
            </w:r>
          </w:p>
        </w:tc>
        <w:tc>
          <w:tcPr>
            <w:tcW w:w="2410" w:type="dxa"/>
            <w:tcBorders>
              <w:top w:val="nil"/>
              <w:left w:val="nil"/>
              <w:bottom w:val="single" w:sz="4" w:space="0" w:color="auto"/>
              <w:right w:val="single" w:sz="4" w:space="0" w:color="auto"/>
            </w:tcBorders>
            <w:shd w:val="clear" w:color="auto" w:fill="auto"/>
            <w:vAlign w:val="center"/>
            <w:hideMark/>
          </w:tcPr>
          <w:p w14:paraId="26A88B44"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747" w:type="dxa"/>
            <w:tcBorders>
              <w:top w:val="nil"/>
              <w:left w:val="nil"/>
              <w:bottom w:val="single" w:sz="4" w:space="0" w:color="auto"/>
              <w:right w:val="single" w:sz="4" w:space="0" w:color="auto"/>
            </w:tcBorders>
            <w:shd w:val="clear" w:color="auto" w:fill="auto"/>
            <w:vAlign w:val="center"/>
            <w:hideMark/>
          </w:tcPr>
          <w:p w14:paraId="2AF364C1"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652C0BA0"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303F11B2"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transporte, tracción y elevación</w:t>
            </w:r>
          </w:p>
        </w:tc>
        <w:tc>
          <w:tcPr>
            <w:tcW w:w="2410" w:type="dxa"/>
            <w:tcBorders>
              <w:top w:val="nil"/>
              <w:left w:val="nil"/>
              <w:bottom w:val="single" w:sz="4" w:space="0" w:color="auto"/>
              <w:right w:val="single" w:sz="4" w:space="0" w:color="auto"/>
            </w:tcBorders>
            <w:shd w:val="clear" w:color="auto" w:fill="auto"/>
            <w:vAlign w:val="center"/>
            <w:hideMark/>
          </w:tcPr>
          <w:p w14:paraId="7E96AFC1"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747" w:type="dxa"/>
            <w:tcBorders>
              <w:top w:val="nil"/>
              <w:left w:val="nil"/>
              <w:bottom w:val="single" w:sz="4" w:space="0" w:color="auto"/>
              <w:right w:val="single" w:sz="4" w:space="0" w:color="auto"/>
            </w:tcBorders>
            <w:shd w:val="clear" w:color="auto" w:fill="auto"/>
            <w:vAlign w:val="center"/>
            <w:hideMark/>
          </w:tcPr>
          <w:p w14:paraId="75E17400"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01A72854"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65C6DB0E"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comedor, cocina despensa y hotelería</w:t>
            </w:r>
          </w:p>
        </w:tc>
        <w:tc>
          <w:tcPr>
            <w:tcW w:w="2410" w:type="dxa"/>
            <w:tcBorders>
              <w:top w:val="nil"/>
              <w:left w:val="nil"/>
              <w:bottom w:val="single" w:sz="4" w:space="0" w:color="auto"/>
              <w:right w:val="single" w:sz="4" w:space="0" w:color="auto"/>
            </w:tcBorders>
            <w:shd w:val="clear" w:color="auto" w:fill="auto"/>
            <w:vAlign w:val="center"/>
            <w:hideMark/>
          </w:tcPr>
          <w:p w14:paraId="18CE9170"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747" w:type="dxa"/>
            <w:tcBorders>
              <w:top w:val="nil"/>
              <w:left w:val="nil"/>
              <w:bottom w:val="single" w:sz="4" w:space="0" w:color="auto"/>
              <w:right w:val="single" w:sz="4" w:space="0" w:color="auto"/>
            </w:tcBorders>
            <w:shd w:val="clear" w:color="auto" w:fill="auto"/>
            <w:vAlign w:val="center"/>
            <w:hideMark/>
          </w:tcPr>
          <w:p w14:paraId="47AE3800"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452FB68B"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04C2C735"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Equipos de comunicación</w:t>
            </w:r>
          </w:p>
        </w:tc>
        <w:tc>
          <w:tcPr>
            <w:tcW w:w="2410" w:type="dxa"/>
            <w:tcBorders>
              <w:top w:val="nil"/>
              <w:left w:val="nil"/>
              <w:bottom w:val="single" w:sz="4" w:space="0" w:color="auto"/>
              <w:right w:val="single" w:sz="4" w:space="0" w:color="auto"/>
            </w:tcBorders>
            <w:shd w:val="clear" w:color="auto" w:fill="auto"/>
            <w:vAlign w:val="center"/>
            <w:hideMark/>
          </w:tcPr>
          <w:p w14:paraId="3F60E192"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747" w:type="dxa"/>
            <w:tcBorders>
              <w:top w:val="nil"/>
              <w:left w:val="nil"/>
              <w:bottom w:val="single" w:sz="4" w:space="0" w:color="auto"/>
              <w:right w:val="single" w:sz="4" w:space="0" w:color="auto"/>
            </w:tcBorders>
            <w:shd w:val="clear" w:color="auto" w:fill="auto"/>
            <w:vAlign w:val="center"/>
            <w:hideMark/>
          </w:tcPr>
          <w:p w14:paraId="02BA6E8D"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3473EA" w:rsidRPr="0031578D" w14:paraId="16357E03" w14:textId="77777777" w:rsidTr="00E62215">
        <w:trPr>
          <w:trHeight w:val="31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27AC97D" w14:textId="77777777" w:rsidR="003473EA" w:rsidRPr="0031578D" w:rsidRDefault="003473EA"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computación</w:t>
            </w:r>
          </w:p>
        </w:tc>
        <w:tc>
          <w:tcPr>
            <w:tcW w:w="2410" w:type="dxa"/>
            <w:tcBorders>
              <w:top w:val="nil"/>
              <w:left w:val="nil"/>
              <w:bottom w:val="single" w:sz="4" w:space="0" w:color="auto"/>
              <w:right w:val="single" w:sz="4" w:space="0" w:color="auto"/>
            </w:tcBorders>
            <w:shd w:val="clear" w:color="auto" w:fill="auto"/>
            <w:vAlign w:val="center"/>
            <w:hideMark/>
          </w:tcPr>
          <w:p w14:paraId="4B90ACD5" w14:textId="77777777" w:rsidR="003473EA" w:rsidRPr="0031578D" w:rsidRDefault="003473EA"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5 y 10 años</w:t>
            </w:r>
          </w:p>
        </w:tc>
        <w:tc>
          <w:tcPr>
            <w:tcW w:w="1747" w:type="dxa"/>
            <w:tcBorders>
              <w:top w:val="nil"/>
              <w:left w:val="nil"/>
              <w:bottom w:val="single" w:sz="4" w:space="0" w:color="auto"/>
              <w:right w:val="single" w:sz="4" w:space="0" w:color="auto"/>
            </w:tcBorders>
            <w:shd w:val="clear" w:color="auto" w:fill="auto"/>
            <w:vAlign w:val="center"/>
            <w:hideMark/>
          </w:tcPr>
          <w:p w14:paraId="08433ADA" w14:textId="77777777" w:rsidR="003473EA" w:rsidRPr="0031578D" w:rsidRDefault="003473EA"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bl>
    <w:p w14:paraId="36AA9831" w14:textId="77777777" w:rsidR="00F06160" w:rsidRPr="0031578D" w:rsidRDefault="00F06160" w:rsidP="00AB4D08">
      <w:pPr>
        <w:pStyle w:val="Prrafodelista"/>
        <w:spacing w:after="0" w:line="240" w:lineRule="auto"/>
        <w:ind w:left="567"/>
        <w:jc w:val="both"/>
        <w:rPr>
          <w:rFonts w:ascii="Times New Roman" w:hAnsi="Times New Roman"/>
          <w:sz w:val="24"/>
          <w:szCs w:val="24"/>
        </w:rPr>
      </w:pPr>
    </w:p>
    <w:p w14:paraId="56DB4F08" w14:textId="075E3CE5" w:rsidR="003473EA" w:rsidRPr="0031578D" w:rsidRDefault="00E62215"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Deterioro</w:t>
      </w:r>
    </w:p>
    <w:p w14:paraId="4BAFB5E5" w14:textId="77777777" w:rsidR="0039061C" w:rsidRDefault="0039061C" w:rsidP="00AB4D08">
      <w:pPr>
        <w:spacing w:after="0" w:line="240" w:lineRule="auto"/>
        <w:ind w:left="567"/>
        <w:contextualSpacing/>
        <w:jc w:val="both"/>
        <w:rPr>
          <w:rFonts w:ascii="Times New Roman" w:eastAsia="Arial" w:hAnsi="Times New Roman"/>
          <w:sz w:val="24"/>
          <w:szCs w:val="24"/>
        </w:rPr>
      </w:pPr>
    </w:p>
    <w:p w14:paraId="3673CCDC"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Al cierre del periodo contable que se informa, el INSTITUTO DE DESARROLLO URBANO – IDU, evalúa si existe evidencia de deterioro y aplica lo establecido en el manual para el manejo y control de los bienes de la entidad. </w:t>
      </w:r>
    </w:p>
    <w:p w14:paraId="52848648" w14:textId="77777777" w:rsidR="00F06160" w:rsidRDefault="00F06160" w:rsidP="00AB4D08">
      <w:pPr>
        <w:pStyle w:val="Prrafodelista"/>
        <w:spacing w:after="0" w:line="240" w:lineRule="auto"/>
        <w:ind w:left="567"/>
        <w:jc w:val="both"/>
        <w:rPr>
          <w:rFonts w:ascii="Times New Roman" w:hAnsi="Times New Roman"/>
          <w:sz w:val="24"/>
          <w:szCs w:val="24"/>
        </w:rPr>
      </w:pPr>
    </w:p>
    <w:p w14:paraId="67246BFA" w14:textId="77777777" w:rsidR="00F13981" w:rsidRDefault="00F13981" w:rsidP="00AB4D08">
      <w:pPr>
        <w:pStyle w:val="Prrafodelista"/>
        <w:spacing w:after="0" w:line="240" w:lineRule="auto"/>
        <w:ind w:left="567"/>
        <w:jc w:val="both"/>
        <w:rPr>
          <w:rFonts w:ascii="Times New Roman" w:hAnsi="Times New Roman"/>
          <w:sz w:val="24"/>
          <w:szCs w:val="24"/>
        </w:rPr>
      </w:pPr>
    </w:p>
    <w:p w14:paraId="7B4F4217" w14:textId="77777777" w:rsidR="00F13981" w:rsidRDefault="00F13981" w:rsidP="00AB4D08">
      <w:pPr>
        <w:pStyle w:val="Prrafodelista"/>
        <w:spacing w:after="0" w:line="240" w:lineRule="auto"/>
        <w:ind w:left="567"/>
        <w:jc w:val="both"/>
        <w:rPr>
          <w:rFonts w:ascii="Times New Roman" w:hAnsi="Times New Roman"/>
          <w:sz w:val="24"/>
          <w:szCs w:val="24"/>
        </w:rPr>
      </w:pPr>
    </w:p>
    <w:p w14:paraId="1792B83D" w14:textId="77777777" w:rsidR="0039061C" w:rsidRDefault="0039061C" w:rsidP="00AB4D08">
      <w:pPr>
        <w:pStyle w:val="Prrafodelista"/>
        <w:spacing w:after="0" w:line="240" w:lineRule="auto"/>
        <w:ind w:left="567"/>
        <w:jc w:val="both"/>
        <w:rPr>
          <w:rFonts w:ascii="Times New Roman" w:hAnsi="Times New Roman"/>
          <w:sz w:val="24"/>
          <w:szCs w:val="24"/>
        </w:rPr>
      </w:pPr>
    </w:p>
    <w:p w14:paraId="72B2AD4F" w14:textId="77777777" w:rsidR="0039061C" w:rsidRDefault="0039061C" w:rsidP="00AB4D08">
      <w:pPr>
        <w:pStyle w:val="Prrafodelista"/>
        <w:spacing w:after="0" w:line="240" w:lineRule="auto"/>
        <w:ind w:left="567"/>
        <w:jc w:val="both"/>
        <w:rPr>
          <w:rFonts w:ascii="Times New Roman" w:hAnsi="Times New Roman"/>
          <w:sz w:val="24"/>
          <w:szCs w:val="24"/>
        </w:rPr>
      </w:pPr>
    </w:p>
    <w:p w14:paraId="26017AE9" w14:textId="2A1245D4" w:rsidR="00A02D0E" w:rsidRPr="0031578D" w:rsidRDefault="00E62215"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lastRenderedPageBreak/>
        <w:t>Bienes de uso Pú</w:t>
      </w:r>
      <w:r w:rsidR="003473EA" w:rsidRPr="0031578D">
        <w:rPr>
          <w:rFonts w:ascii="Times New Roman" w:hAnsi="Times New Roman"/>
          <w:sz w:val="24"/>
          <w:szCs w:val="24"/>
        </w:rPr>
        <w:t>blico</w:t>
      </w:r>
    </w:p>
    <w:p w14:paraId="1ED2E016" w14:textId="77777777" w:rsidR="003473EA" w:rsidRPr="0031578D" w:rsidRDefault="003473EA" w:rsidP="00AB4D08">
      <w:pPr>
        <w:spacing w:after="0" w:line="240" w:lineRule="auto"/>
        <w:ind w:left="567"/>
        <w:contextualSpacing/>
        <w:jc w:val="both"/>
        <w:rPr>
          <w:rFonts w:ascii="Times New Roman" w:hAnsi="Times New Roman"/>
          <w:sz w:val="24"/>
          <w:szCs w:val="24"/>
        </w:rPr>
      </w:pPr>
    </w:p>
    <w:p w14:paraId="0813E125"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reconoce como bienes de uso público, los activos destinados para el uso, goce y disfrute de la colectividad y que, por lo tanto, están al servicio de ésta en forma permanente, con las limitaciones que establece el ordenamiento jurídico y la autoridad que regula su utilización; con respecto a estos bienes, el estado cumple una función de protección, administración y apoyo financiero. Los bienes de uso público se caracterizan porque son inalienables, imprescriptibles e inembargables.</w:t>
      </w:r>
    </w:p>
    <w:p w14:paraId="7DB10CFF"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p>
    <w:p w14:paraId="0C4C9A8F"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Los terrenos sobre los que se construyan los bienes de uso público, se reconocen por separado.</w:t>
      </w:r>
    </w:p>
    <w:p w14:paraId="71D2269B"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p>
    <w:p w14:paraId="261FED2A" w14:textId="77777777" w:rsidR="003473EA" w:rsidRPr="0031578D" w:rsidRDefault="003473E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mide los bienes de uso público por el costo, el cual comprende, entre otros, lo siguiente: el valor de adquisición de terrenos y materiales para la construcción del bien (incluidos los aranceles de importación y los impuestos indirectos no recuperables que recaigan sobre la adquisición), los costos de beneficios a los empleados y los honorarios profesionales en que se incurran para la construcción del bien de uso público; así como todos los costos directamente atribuibles a la construcción del activo, para que pueda operar de la forma prevista por la administración del INSTITUTO DE DESARROLLO URBANO – IDU.</w:t>
      </w:r>
    </w:p>
    <w:p w14:paraId="54F4A5C1" w14:textId="77777777" w:rsidR="003473EA" w:rsidRPr="0031578D" w:rsidRDefault="003473EA" w:rsidP="00AB4D08">
      <w:pPr>
        <w:spacing w:after="0" w:line="240" w:lineRule="auto"/>
        <w:ind w:left="567"/>
        <w:contextualSpacing/>
        <w:jc w:val="both"/>
        <w:rPr>
          <w:rFonts w:ascii="Times New Roman" w:hAnsi="Times New Roman"/>
          <w:sz w:val="24"/>
          <w:szCs w:val="24"/>
        </w:rPr>
      </w:pPr>
    </w:p>
    <w:p w14:paraId="029EC1C5"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Después del reconocimiento, los bienes de uso público se miden por el costo menos la depreciación acumulada menos el deterioro acumulado. </w:t>
      </w:r>
    </w:p>
    <w:p w14:paraId="1F7C427D"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p>
    <w:p w14:paraId="7D0F776C" w14:textId="6B9BE384" w:rsidR="00E62215" w:rsidRPr="0031578D" w:rsidRDefault="00E62215" w:rsidP="00AB4D08">
      <w:pPr>
        <w:pStyle w:val="Prrafodelista"/>
        <w:numPr>
          <w:ilvl w:val="0"/>
          <w:numId w:val="39"/>
        </w:numPr>
        <w:spacing w:after="0" w:line="240" w:lineRule="auto"/>
        <w:rPr>
          <w:rFonts w:ascii="Times New Roman" w:eastAsia="Arial" w:hAnsi="Times New Roman"/>
          <w:sz w:val="24"/>
          <w:szCs w:val="24"/>
        </w:rPr>
      </w:pPr>
      <w:bookmarkStart w:id="21" w:name="_2et92p0" w:colFirst="0" w:colLast="0"/>
      <w:bookmarkEnd w:id="21"/>
      <w:r w:rsidRPr="0031578D">
        <w:rPr>
          <w:rFonts w:ascii="Times New Roman" w:eastAsia="Arial" w:hAnsi="Times New Roman"/>
          <w:sz w:val="24"/>
          <w:szCs w:val="24"/>
        </w:rPr>
        <w:t>Depreciación</w:t>
      </w:r>
    </w:p>
    <w:p w14:paraId="2EE1F852" w14:textId="77777777" w:rsidR="0039061C" w:rsidRDefault="0039061C" w:rsidP="00AB4D08">
      <w:pPr>
        <w:spacing w:after="0" w:line="240" w:lineRule="auto"/>
        <w:ind w:left="567"/>
        <w:contextualSpacing/>
        <w:jc w:val="both"/>
        <w:rPr>
          <w:rFonts w:ascii="Times New Roman" w:eastAsia="Arial" w:hAnsi="Times New Roman"/>
          <w:sz w:val="24"/>
          <w:szCs w:val="24"/>
        </w:rPr>
      </w:pPr>
      <w:bookmarkStart w:id="22" w:name="_p20oaeisrncn" w:colFirst="0" w:colLast="0"/>
      <w:bookmarkEnd w:id="22"/>
    </w:p>
    <w:p w14:paraId="2C893544"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Para la determinación de la depreciación, el INSTITUTO DE DESARROLLO URBANO – IDU, utiliza el método de depreciación de línea recta, la cual inicia cuando el bien de uso público esté disponible para su uso, esto es, cuando se encuentre en la ubicación y en las condiciones necesarias para operar de la forma prevista por la administración del INSTITUTO DE DESARROLLO URBANO – IDU.</w:t>
      </w:r>
    </w:p>
    <w:p w14:paraId="26CD43AD"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p>
    <w:p w14:paraId="2BAA12C0"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cargo por depreciación se reconoce como gasto en el resultado del periodo. Los terrenos no son objeto de depreciación.</w:t>
      </w:r>
    </w:p>
    <w:p w14:paraId="369E0D7E"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p>
    <w:p w14:paraId="68786806" w14:textId="77777777" w:rsidR="00E62215" w:rsidRPr="0031578D" w:rsidRDefault="00E62215"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depreciación de un activo cesa cuando se produzca la baja en cuentas. La depreciación no cesa cuando el activo esté sin utilizar o se haya retirado del uso, ni cuando el activo sea objeto de operaciones de reconstrucción, mejoramiento y rehabilitación.</w:t>
      </w:r>
    </w:p>
    <w:p w14:paraId="14CB31B1" w14:textId="535FEDC8" w:rsidR="00E62215" w:rsidRPr="0031578D" w:rsidRDefault="00E62215"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Vida útil</w:t>
      </w:r>
    </w:p>
    <w:p w14:paraId="2E002B5F" w14:textId="77777777" w:rsidR="0039061C" w:rsidRDefault="0039061C" w:rsidP="00AB4D08">
      <w:pPr>
        <w:pStyle w:val="Prrafodelista"/>
        <w:spacing w:after="0" w:line="240" w:lineRule="auto"/>
        <w:ind w:left="567"/>
        <w:jc w:val="both"/>
        <w:rPr>
          <w:rFonts w:ascii="Times New Roman" w:eastAsia="Arial" w:hAnsi="Times New Roman"/>
          <w:sz w:val="24"/>
          <w:szCs w:val="24"/>
        </w:rPr>
      </w:pPr>
    </w:p>
    <w:p w14:paraId="7E6D8782" w14:textId="523E03EE" w:rsidR="00E62215" w:rsidRPr="0031578D" w:rsidRDefault="00E62215" w:rsidP="00AB4D08">
      <w:pPr>
        <w:pStyle w:val="Prrafodelista"/>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Debe entenderse la vida útil de un bien de uso público como el periodo durante el cual se espera utilizar el activo.</w:t>
      </w:r>
    </w:p>
    <w:p w14:paraId="4AF488AD"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p>
    <w:p w14:paraId="222C37D4" w14:textId="77777777" w:rsidR="00E62215" w:rsidRPr="0031578D" w:rsidRDefault="00E62215"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estimación de la vida útil de un activo se efectuará con fundamento en la experiencia que el INSTITUTO DE DESARROLLO URBANO – IDU, tiene con activos similares.</w:t>
      </w:r>
    </w:p>
    <w:p w14:paraId="1BDB9BBA" w14:textId="77777777" w:rsidR="00E62215" w:rsidRPr="0031578D" w:rsidRDefault="00E62215"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lastRenderedPageBreak/>
        <w:t xml:space="preserve">Con el fin de determinar la vida útil, se tienen en cuenta, entre otros, los siguientes factores: </w:t>
      </w:r>
    </w:p>
    <w:p w14:paraId="52F1DDC6" w14:textId="29DC09AE" w:rsidR="00E62215" w:rsidRPr="0031578D" w:rsidRDefault="00E62215"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La utilización prevista del activo</w:t>
      </w:r>
    </w:p>
    <w:p w14:paraId="23D5DF68" w14:textId="44142D90" w:rsidR="00E62215" w:rsidRPr="0031578D" w:rsidRDefault="00E62215"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El desgaste físico esperado, que depende de factores operativos, tales como: el programa de reconstrucción, mejoramiento y rehabilitación, que se le da al activo mientras no se está utilizando.</w:t>
      </w:r>
    </w:p>
    <w:p w14:paraId="5EE85087" w14:textId="77777777" w:rsidR="00E62215" w:rsidRPr="0031578D" w:rsidRDefault="00E62215" w:rsidP="00AB4D08">
      <w:pPr>
        <w:pBdr>
          <w:top w:val="nil"/>
          <w:left w:val="nil"/>
          <w:bottom w:val="nil"/>
          <w:right w:val="nil"/>
          <w:between w:val="nil"/>
        </w:pBdr>
        <w:spacing w:after="0" w:line="240" w:lineRule="auto"/>
        <w:ind w:left="567"/>
        <w:contextualSpacing/>
        <w:jc w:val="both"/>
        <w:rPr>
          <w:rFonts w:ascii="Times New Roman" w:eastAsia="Arial" w:hAnsi="Times New Roman"/>
          <w:b/>
          <w:sz w:val="24"/>
          <w:szCs w:val="24"/>
        </w:rPr>
      </w:pPr>
    </w:p>
    <w:p w14:paraId="614080EC" w14:textId="4B8AFBCB" w:rsidR="00E62215" w:rsidRPr="0031578D" w:rsidRDefault="00E62215" w:rsidP="00AB4D08">
      <w:pPr>
        <w:spacing w:after="0" w:line="240" w:lineRule="auto"/>
        <w:ind w:left="567"/>
        <w:contextualSpacing/>
        <w:jc w:val="both"/>
        <w:rPr>
          <w:rFonts w:ascii="Times New Roman" w:hAnsi="Times New Roman"/>
          <w:sz w:val="24"/>
          <w:szCs w:val="24"/>
        </w:rPr>
      </w:pPr>
      <w:r w:rsidRPr="0031578D">
        <w:rPr>
          <w:rFonts w:ascii="Times New Roman" w:eastAsia="Arial" w:hAnsi="Times New Roman"/>
          <w:sz w:val="24"/>
          <w:szCs w:val="24"/>
        </w:rPr>
        <w:t>Para los Bienes de Uso Público se definió la vida útil estimada, así:</w:t>
      </w:r>
    </w:p>
    <w:p w14:paraId="4887AE7C" w14:textId="77777777" w:rsidR="003473EA" w:rsidRPr="0031578D" w:rsidRDefault="003473EA" w:rsidP="00AB4D08">
      <w:pPr>
        <w:spacing w:after="0" w:line="240" w:lineRule="auto"/>
        <w:ind w:left="567"/>
        <w:contextualSpacing/>
        <w:jc w:val="both"/>
        <w:rPr>
          <w:rFonts w:ascii="Times New Roman" w:hAnsi="Times New Roman"/>
          <w:sz w:val="24"/>
          <w:szCs w:val="24"/>
        </w:rPr>
      </w:pPr>
    </w:p>
    <w:tbl>
      <w:tblPr>
        <w:tblW w:w="6946" w:type="dxa"/>
        <w:tblInd w:w="562" w:type="dxa"/>
        <w:tblCellMar>
          <w:left w:w="70" w:type="dxa"/>
          <w:right w:w="70" w:type="dxa"/>
        </w:tblCellMar>
        <w:tblLook w:val="04A0" w:firstRow="1" w:lastRow="0" w:firstColumn="1" w:lastColumn="0" w:noHBand="0" w:noVBand="1"/>
      </w:tblPr>
      <w:tblGrid>
        <w:gridCol w:w="3686"/>
        <w:gridCol w:w="3260"/>
      </w:tblGrid>
      <w:tr w:rsidR="00E62215" w:rsidRPr="0031578D" w14:paraId="16D62F5F" w14:textId="77777777" w:rsidTr="00E62215">
        <w:trPr>
          <w:trHeight w:val="315"/>
        </w:trPr>
        <w:tc>
          <w:tcPr>
            <w:tcW w:w="3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323B70" w14:textId="77777777" w:rsidR="00E62215" w:rsidRPr="0031578D" w:rsidRDefault="00E62215"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DESCRIPCIÓN</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6F1F1785" w14:textId="77777777" w:rsidR="00E62215" w:rsidRPr="0031578D" w:rsidRDefault="00E62215"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VIDA ÚTIL</w:t>
            </w:r>
          </w:p>
        </w:tc>
      </w:tr>
      <w:tr w:rsidR="00E62215" w:rsidRPr="0031578D" w14:paraId="63EF1036"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1E41246"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Malla Vial Principal</w:t>
            </w:r>
          </w:p>
        </w:tc>
        <w:tc>
          <w:tcPr>
            <w:tcW w:w="3260" w:type="dxa"/>
            <w:tcBorders>
              <w:top w:val="nil"/>
              <w:left w:val="nil"/>
              <w:bottom w:val="single" w:sz="4" w:space="0" w:color="auto"/>
              <w:right w:val="single" w:sz="4" w:space="0" w:color="auto"/>
            </w:tcBorders>
            <w:shd w:val="clear" w:color="auto" w:fill="auto"/>
            <w:vAlign w:val="center"/>
            <w:hideMark/>
          </w:tcPr>
          <w:p w14:paraId="159DDB34"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15 y 50 años</w:t>
            </w:r>
          </w:p>
        </w:tc>
      </w:tr>
      <w:tr w:rsidR="00E62215" w:rsidRPr="0031578D" w14:paraId="7617D623"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54DDBE7"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Malla Vial Intermedia</w:t>
            </w:r>
          </w:p>
        </w:tc>
        <w:tc>
          <w:tcPr>
            <w:tcW w:w="3260" w:type="dxa"/>
            <w:tcBorders>
              <w:top w:val="nil"/>
              <w:left w:val="nil"/>
              <w:bottom w:val="single" w:sz="4" w:space="0" w:color="auto"/>
              <w:right w:val="single" w:sz="4" w:space="0" w:color="auto"/>
            </w:tcBorders>
            <w:shd w:val="clear" w:color="auto" w:fill="auto"/>
            <w:vAlign w:val="center"/>
            <w:hideMark/>
          </w:tcPr>
          <w:p w14:paraId="76FA2985"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5 y 50 años</w:t>
            </w:r>
          </w:p>
        </w:tc>
      </w:tr>
      <w:tr w:rsidR="00E62215" w:rsidRPr="0031578D" w14:paraId="2481EFF3"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B7F029E"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Malla Vial Local</w:t>
            </w:r>
          </w:p>
        </w:tc>
        <w:tc>
          <w:tcPr>
            <w:tcW w:w="3260" w:type="dxa"/>
            <w:tcBorders>
              <w:top w:val="nil"/>
              <w:left w:val="nil"/>
              <w:bottom w:val="single" w:sz="4" w:space="0" w:color="auto"/>
              <w:right w:val="single" w:sz="4" w:space="0" w:color="auto"/>
            </w:tcBorders>
            <w:shd w:val="clear" w:color="auto" w:fill="auto"/>
            <w:vAlign w:val="center"/>
            <w:hideMark/>
          </w:tcPr>
          <w:p w14:paraId="22940B4B"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5 y 50 años</w:t>
            </w:r>
          </w:p>
        </w:tc>
      </w:tr>
      <w:tr w:rsidR="00E62215" w:rsidRPr="0031578D" w14:paraId="5B5F62D2"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7DEFD7E"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Malla Vial Rural</w:t>
            </w:r>
          </w:p>
        </w:tc>
        <w:tc>
          <w:tcPr>
            <w:tcW w:w="3260" w:type="dxa"/>
            <w:tcBorders>
              <w:top w:val="nil"/>
              <w:left w:val="nil"/>
              <w:bottom w:val="single" w:sz="4" w:space="0" w:color="auto"/>
              <w:right w:val="single" w:sz="4" w:space="0" w:color="auto"/>
            </w:tcBorders>
            <w:shd w:val="clear" w:color="auto" w:fill="auto"/>
            <w:vAlign w:val="center"/>
            <w:hideMark/>
          </w:tcPr>
          <w:p w14:paraId="30AF97CD"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3 y 50 años</w:t>
            </w:r>
          </w:p>
        </w:tc>
      </w:tr>
      <w:tr w:rsidR="00E62215" w:rsidRPr="0031578D" w14:paraId="37A501DA"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55EF9D6"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Puentes Vehiculares</w:t>
            </w:r>
          </w:p>
        </w:tc>
        <w:tc>
          <w:tcPr>
            <w:tcW w:w="3260" w:type="dxa"/>
            <w:tcBorders>
              <w:top w:val="nil"/>
              <w:left w:val="nil"/>
              <w:bottom w:val="single" w:sz="4" w:space="0" w:color="auto"/>
              <w:right w:val="single" w:sz="4" w:space="0" w:color="auto"/>
            </w:tcBorders>
            <w:shd w:val="clear" w:color="auto" w:fill="auto"/>
            <w:vAlign w:val="center"/>
            <w:hideMark/>
          </w:tcPr>
          <w:p w14:paraId="57A387FE"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15 y 40 años</w:t>
            </w:r>
          </w:p>
        </w:tc>
      </w:tr>
      <w:tr w:rsidR="00E62215" w:rsidRPr="0031578D" w14:paraId="5F78EFA3"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044D539"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Puentes Peatonales</w:t>
            </w:r>
          </w:p>
        </w:tc>
        <w:tc>
          <w:tcPr>
            <w:tcW w:w="3260" w:type="dxa"/>
            <w:tcBorders>
              <w:top w:val="nil"/>
              <w:left w:val="nil"/>
              <w:bottom w:val="single" w:sz="4" w:space="0" w:color="auto"/>
              <w:right w:val="single" w:sz="4" w:space="0" w:color="auto"/>
            </w:tcBorders>
            <w:shd w:val="clear" w:color="auto" w:fill="auto"/>
            <w:vAlign w:val="center"/>
            <w:hideMark/>
          </w:tcPr>
          <w:p w14:paraId="7BB4BB0E"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15 y 40 años</w:t>
            </w:r>
          </w:p>
        </w:tc>
      </w:tr>
      <w:tr w:rsidR="00E62215" w:rsidRPr="0031578D" w14:paraId="2E7BF61E" w14:textId="77777777" w:rsidTr="00E6221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D8E1B41"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Espacio Público</w:t>
            </w:r>
          </w:p>
        </w:tc>
        <w:tc>
          <w:tcPr>
            <w:tcW w:w="3260" w:type="dxa"/>
            <w:tcBorders>
              <w:top w:val="nil"/>
              <w:left w:val="nil"/>
              <w:bottom w:val="single" w:sz="4" w:space="0" w:color="auto"/>
              <w:right w:val="single" w:sz="4" w:space="0" w:color="auto"/>
            </w:tcBorders>
            <w:shd w:val="clear" w:color="auto" w:fill="auto"/>
            <w:vAlign w:val="center"/>
            <w:hideMark/>
          </w:tcPr>
          <w:p w14:paraId="0FB85AB1" w14:textId="77777777" w:rsidR="00E62215" w:rsidRPr="0031578D" w:rsidRDefault="00E62215" w:rsidP="00AB4D08">
            <w:pPr>
              <w:spacing w:after="0" w:line="240" w:lineRule="auto"/>
              <w:contextualSpacing/>
              <w:jc w:val="both"/>
              <w:rPr>
                <w:rFonts w:ascii="Times New Roman" w:eastAsia="Times New Roman" w:hAnsi="Times New Roman"/>
                <w:color w:val="000000"/>
                <w:sz w:val="24"/>
                <w:szCs w:val="24"/>
                <w:lang w:eastAsia="es-CO"/>
              </w:rPr>
            </w:pPr>
            <w:r w:rsidRPr="0031578D">
              <w:rPr>
                <w:rFonts w:ascii="Times New Roman" w:eastAsia="Arial" w:hAnsi="Times New Roman"/>
                <w:color w:val="000000"/>
                <w:sz w:val="24"/>
                <w:szCs w:val="24"/>
                <w:lang w:eastAsia="es-CO"/>
              </w:rPr>
              <w:t>Entre 10 y 50 años</w:t>
            </w:r>
          </w:p>
        </w:tc>
      </w:tr>
    </w:tbl>
    <w:p w14:paraId="2DEA86CB" w14:textId="77777777" w:rsidR="00E62215" w:rsidRPr="0031578D" w:rsidRDefault="00E62215" w:rsidP="00AB4D08">
      <w:pPr>
        <w:spacing w:after="0" w:line="240" w:lineRule="auto"/>
        <w:ind w:left="567"/>
        <w:contextualSpacing/>
        <w:jc w:val="both"/>
        <w:rPr>
          <w:rFonts w:ascii="Times New Roman" w:hAnsi="Times New Roman"/>
          <w:sz w:val="24"/>
          <w:szCs w:val="24"/>
        </w:rPr>
      </w:pPr>
    </w:p>
    <w:p w14:paraId="0B37360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vida útil y el método de depreciación son revisados, como mínimo, al término de cada periodo contable y si existe un cambio significativo en estas variables, se ajustan para reflejar el nuevo patrón de consumo del potencial de servicio. Este cambio se contabiliza como un cambio en una estimación contable, de conformidad con la Norma de Políticas Contables, Cambios en las Estimaciones Contables y Corrección de Errores.</w:t>
      </w:r>
    </w:p>
    <w:p w14:paraId="6020097F"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0D207B23" w14:textId="422C00AF" w:rsidR="009C3E12" w:rsidRPr="0031578D" w:rsidRDefault="009C3E12" w:rsidP="00AB4D08">
      <w:pPr>
        <w:pStyle w:val="Prrafodelista"/>
        <w:numPr>
          <w:ilvl w:val="0"/>
          <w:numId w:val="39"/>
        </w:numPr>
        <w:spacing w:after="0" w:line="240" w:lineRule="auto"/>
        <w:rPr>
          <w:rFonts w:ascii="Times New Roman" w:eastAsia="Arial" w:hAnsi="Times New Roman"/>
          <w:sz w:val="24"/>
          <w:szCs w:val="24"/>
        </w:rPr>
      </w:pPr>
      <w:bookmarkStart w:id="23" w:name="_3dy6vkm" w:colFirst="0" w:colLast="0"/>
      <w:bookmarkEnd w:id="23"/>
      <w:r w:rsidRPr="0031578D">
        <w:rPr>
          <w:rFonts w:ascii="Times New Roman" w:eastAsia="Arial" w:hAnsi="Times New Roman"/>
          <w:sz w:val="24"/>
          <w:szCs w:val="24"/>
        </w:rPr>
        <w:t>Deterioro</w:t>
      </w:r>
    </w:p>
    <w:p w14:paraId="578C9D39" w14:textId="77777777" w:rsidR="0039061C" w:rsidRDefault="0039061C" w:rsidP="00AB4D08">
      <w:pPr>
        <w:spacing w:after="0" w:line="240" w:lineRule="auto"/>
        <w:ind w:left="567"/>
        <w:contextualSpacing/>
        <w:jc w:val="both"/>
        <w:rPr>
          <w:rFonts w:ascii="Times New Roman" w:eastAsia="Arial" w:hAnsi="Times New Roman"/>
          <w:sz w:val="24"/>
          <w:szCs w:val="24"/>
        </w:rPr>
      </w:pPr>
      <w:bookmarkStart w:id="24" w:name="_p8m674tkojke" w:colFirst="0" w:colLast="0"/>
      <w:bookmarkEnd w:id="24"/>
    </w:p>
    <w:p w14:paraId="27001B8E"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Para efectos de determinar el deterioro de un bien de uso público, el INSTITUTO DE DESARROLLO URBANO – IDU, evalúa, como mínimo, al final del periodo contable si se dispone de evidencia de deterioro de estos activos, originado por daños físicos que disminuyan significativamente la capacidad del activo para prestar servicios.  El deterioro se mide como la diferencia entre valor en libros del activo y el valor del servicio recuperable. El valor del servicio recuperable corresponde a la diferencia entre el valor en libros del activo y el costo de sustitución de la parte dañada ajustado por la depreciación acumulada de la misma.</w:t>
      </w:r>
    </w:p>
    <w:p w14:paraId="12D4A2C1" w14:textId="77777777" w:rsidR="00BA70D6" w:rsidRPr="0031578D" w:rsidRDefault="00BA70D6" w:rsidP="00AB4D08">
      <w:pPr>
        <w:spacing w:after="0" w:line="240" w:lineRule="auto"/>
        <w:ind w:left="567"/>
        <w:contextualSpacing/>
        <w:jc w:val="both"/>
        <w:rPr>
          <w:rFonts w:ascii="Times New Roman" w:eastAsia="Arial" w:hAnsi="Times New Roman"/>
          <w:sz w:val="24"/>
          <w:szCs w:val="24"/>
        </w:rPr>
      </w:pPr>
    </w:p>
    <w:p w14:paraId="171F2511" w14:textId="59A11F06" w:rsidR="009C3E12" w:rsidRPr="0031578D" w:rsidRDefault="009C3E12"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Activos Intangibles</w:t>
      </w:r>
    </w:p>
    <w:p w14:paraId="153009C4" w14:textId="77777777" w:rsidR="009C3E12" w:rsidRPr="0031578D" w:rsidRDefault="009C3E12" w:rsidP="00AB4D08">
      <w:pPr>
        <w:pStyle w:val="Prrafodelista"/>
        <w:spacing w:after="0" w:line="240" w:lineRule="auto"/>
        <w:ind w:left="567"/>
        <w:jc w:val="both"/>
        <w:rPr>
          <w:rFonts w:ascii="Times New Roman" w:hAnsi="Times New Roman"/>
          <w:sz w:val="24"/>
          <w:szCs w:val="24"/>
        </w:rPr>
      </w:pPr>
    </w:p>
    <w:p w14:paraId="1B3465F0"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reconoce como activos intangibles, los recursos identificables, de carácter no monetario y sin apariencia física, sobre los cuales se tiene el control, se espera obtener beneficios económicos futuros o potencial de servicio y puede realizar mediciones fiables. Estos activos se caracterizan porque no se esperan venderlos en el curso de las actividades y se prevé usarlos durante más de un periodo contable.</w:t>
      </w:r>
    </w:p>
    <w:p w14:paraId="1CB883EE"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lastRenderedPageBreak/>
        <w:t>Un activo intangible es identificable cuando es susceptible de separarse del INSTITUTO DE DESARROLLO URBANO – IDU, y en consecuencia, venderse, transferirse, entregarse en explotación o intercambiarse, ya sea individualmente, o junto con otros activos identificables o pasivos con los que guarde relación, independientemente de que se tenga o no la intención de llevar a cabo la separación. Un activo intangible también es identificable cuando surge de acuerdos vinculantes incluyendo derechos contractuales u otros derechos legales.</w:t>
      </w:r>
    </w:p>
    <w:p w14:paraId="6EF35CD9" w14:textId="77777777" w:rsidR="009C3E12" w:rsidRPr="0031578D" w:rsidRDefault="009C3E12" w:rsidP="00AB4D08">
      <w:pPr>
        <w:pStyle w:val="Prrafodelista"/>
        <w:spacing w:after="0" w:line="240" w:lineRule="auto"/>
        <w:ind w:left="567"/>
        <w:jc w:val="both"/>
        <w:rPr>
          <w:rFonts w:ascii="Times New Roman" w:hAnsi="Times New Roman"/>
          <w:sz w:val="24"/>
          <w:szCs w:val="24"/>
        </w:rPr>
      </w:pPr>
    </w:p>
    <w:p w14:paraId="5A37757D"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INSTITUTO DE DESARROLLO URBANO – IDU, controla un activo intangible cuando puede obtener los beneficios económicos futuros o el potencial de servicio de los recursos derivados de este y puede restringir el acceso de terceras personas a tales beneficios o a dicho potencial de servicio. </w:t>
      </w:r>
    </w:p>
    <w:p w14:paraId="1CA311D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36EFCE8E"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 medición de un activo intangible es fiable cuando existe evidencia de transacciones para el activo u otros similares, o cuando la estimación del valor depende de variables que se pueden medir en términos monetarios. Los intangibles adquiridos o recibidos en una transacción con o sin contraprestación, cuyo valor sea igual o superior a dos (2) SMMLV, se reconocen por la entidad, de acuerdo a la clasificación correspondiente, mientras que los adquiridos por un valor menor al señalado se reconocen en el resultado del periodo. </w:t>
      </w:r>
    </w:p>
    <w:p w14:paraId="28D3DD94"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erogaciones en que incurre el INSTITUTO DE DESARROLLO URBANO – IDU, posteriores al reconocimiento inicial del intangible y que hacen parte del mismo, se reconocen como mayores valores del activo.</w:t>
      </w:r>
    </w:p>
    <w:p w14:paraId="62E82EE3"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005B962E"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mide los activos intangibles al costo, el cual depende de la forma en que se obtenga el intangible.</w:t>
      </w:r>
    </w:p>
    <w:p w14:paraId="549D22C6"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2B4BEB63" w14:textId="44100208" w:rsidR="009C3E12" w:rsidRPr="0031578D" w:rsidRDefault="009C3E12"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Activos intangibles adquiridos</w:t>
      </w:r>
    </w:p>
    <w:p w14:paraId="48787903" w14:textId="77777777" w:rsidR="0039061C" w:rsidRDefault="0039061C" w:rsidP="00AB4D08">
      <w:pPr>
        <w:spacing w:after="0" w:line="240" w:lineRule="auto"/>
        <w:ind w:left="567"/>
        <w:contextualSpacing/>
        <w:jc w:val="both"/>
        <w:rPr>
          <w:rFonts w:ascii="Times New Roman" w:eastAsia="Arial" w:hAnsi="Times New Roman"/>
          <w:sz w:val="24"/>
          <w:szCs w:val="24"/>
        </w:rPr>
      </w:pPr>
    </w:p>
    <w:p w14:paraId="6C60B3C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costo de un activo intangible que se adquiere en forma separada se conforma por el precio de adquisición, los aranceles de importación e impuestos no recuperables que recaigan sobre la adquisición y cualquier costo directamente atribuible a la preparación del activo para su uso previsto. </w:t>
      </w:r>
    </w:p>
    <w:p w14:paraId="54DD7CE2"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500CCEBB"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Los costos de financiación asociados con la adquisición de un activo intangible que, de acuerdo con lo estipulado en la Norma de Costos de Financiación, cumpla con los requisitos establecidos para calificarse como activo apto, se capitaliza atendiendo lo establecido en la citada norma.</w:t>
      </w:r>
    </w:p>
    <w:p w14:paraId="1663B39A"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09EDE25B" w14:textId="77777777" w:rsidR="009C3E12" w:rsidRPr="0031578D" w:rsidRDefault="009C3E12"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Con posterioridad al reconocimiento, el INSTITUTO DE DESARROLLO URBANO – IDU, mide sus activos intangibles por el costo, menos la amortización acumulada menos el deterioro acumulado.</w:t>
      </w:r>
    </w:p>
    <w:p w14:paraId="06117482" w14:textId="77777777" w:rsidR="009C3E12" w:rsidRPr="0031578D" w:rsidRDefault="009C3E12"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Amortización:</w:t>
      </w:r>
    </w:p>
    <w:p w14:paraId="50C731BE" w14:textId="77777777" w:rsidR="0039061C" w:rsidRDefault="0039061C" w:rsidP="00AB4D08">
      <w:pPr>
        <w:spacing w:after="0" w:line="240" w:lineRule="auto"/>
        <w:ind w:left="567"/>
        <w:contextualSpacing/>
        <w:jc w:val="both"/>
        <w:rPr>
          <w:rFonts w:ascii="Times New Roman" w:eastAsia="Arial" w:hAnsi="Times New Roman"/>
          <w:sz w:val="24"/>
          <w:szCs w:val="24"/>
        </w:rPr>
      </w:pPr>
    </w:p>
    <w:p w14:paraId="66AF6296"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Para la determinación de la amortización, el INSTITUTO DE DESARROLLO URBANO – IDU, utiliza el método de línea recta.</w:t>
      </w:r>
    </w:p>
    <w:p w14:paraId="7027110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lastRenderedPageBreak/>
        <w:t>La amortización es la distribución sistemática del valor amortizable de un activo intangible durante su vida útil. Por su parte, el valor amortizable de un activo intangible es el costo del activo menos su valor residual.</w:t>
      </w:r>
    </w:p>
    <w:p w14:paraId="25C4E42E"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0D7279D4"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 amortización inicia cuando el activo esté disponible para su utilización, es decir, cuando se encuentre en la ubicación y condiciones necesarias para que pueda operar de la forma prevista por la administración del INSTITUTO DE DESARROLLO URBANO – IDU. </w:t>
      </w:r>
    </w:p>
    <w:p w14:paraId="7BB86792"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6C6A36A9"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cargo por amortización de un periodo se reconoce como gasto en el resultado del periodo contable.</w:t>
      </w:r>
    </w:p>
    <w:p w14:paraId="41BFDD84"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78A1EEFC"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amortización de un activo intangible cesa cuando se produzca la baja en cuentas o cuando el valor residual del activo supere su valor en libros. La amortización no cesa cuando el activo esté sin utilizar.</w:t>
      </w:r>
    </w:p>
    <w:p w14:paraId="775A382C"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72CDB4BC" w14:textId="12A378BE" w:rsidR="009C3E12" w:rsidRPr="0031578D" w:rsidRDefault="009C3E12"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Vida útil</w:t>
      </w:r>
    </w:p>
    <w:p w14:paraId="04CC3512" w14:textId="77777777" w:rsidR="0039061C" w:rsidRDefault="0039061C" w:rsidP="00AB4D08">
      <w:pPr>
        <w:spacing w:after="0" w:line="240" w:lineRule="auto"/>
        <w:ind w:left="567"/>
        <w:contextualSpacing/>
        <w:jc w:val="both"/>
        <w:rPr>
          <w:rFonts w:ascii="Times New Roman" w:eastAsia="Arial" w:hAnsi="Times New Roman"/>
          <w:sz w:val="24"/>
          <w:szCs w:val="24"/>
        </w:rPr>
      </w:pPr>
    </w:p>
    <w:p w14:paraId="5FE7142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vida útil se determina en función del tiempo durante el cual el INSTITUTO DE DESARROLLO URBANO – IDU, espera utilizar el activo.</w:t>
      </w:r>
    </w:p>
    <w:p w14:paraId="3EFCAD67"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7E9519B6"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vida útil de los activos intangibles está dada por el plazo establecido conforme a los términos contractuales. Si no es posible hacer una estimación fiable de la vida útil de un activo intangible, se considera que este tiene vida útil indefinida y no es objeto de amortización.</w:t>
      </w:r>
    </w:p>
    <w:p w14:paraId="39085E64"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111A0529"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vida útil de un activo intangible asociado a un derecho contractual o legal fijado por un plazo limitado que puede renovarse, incluirá el periodo de renovación, cuando exista evidencia que respalde que la renovación no tiene un costo significativo. Si el costo de la renovación es significativo en comparación con los beneficios económicos futuros o el potencial de servicio que se espera fluya al INSTITUTO DE DESARROLLO URBANO – IDU, como resultado de esta, estos costos forman parte del costo de adquisición de un nuevo activo intangible en la fecha de renovación.</w:t>
      </w:r>
    </w:p>
    <w:p w14:paraId="2E44BFC6"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1E7DEC84"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 revisa, como mínimo, al término del periodo contable la vida útil y el método de amortización, si existiera un cambio significativo en estas variables, se ajustan para reflejar el nuevo patrón de consumo de los beneficios económicos futuros o del potencial de servicio. Este cambio se contabiliza como un cambio en una estimación contable, de conformidad con lo establecido en la Norma de Políticas Contables, Cambios en las Estimaciones Contables y Corrección de Errores.</w:t>
      </w:r>
    </w:p>
    <w:p w14:paraId="5FE758C5" w14:textId="77777777" w:rsidR="009C3E12" w:rsidRPr="0031578D" w:rsidRDefault="009C3E12" w:rsidP="00AB4D08">
      <w:pPr>
        <w:spacing w:after="0" w:line="240" w:lineRule="auto"/>
        <w:ind w:left="567"/>
        <w:contextualSpacing/>
        <w:jc w:val="both"/>
        <w:rPr>
          <w:rFonts w:ascii="Times New Roman" w:eastAsia="Arial" w:hAnsi="Times New Roman"/>
          <w:sz w:val="24"/>
          <w:szCs w:val="24"/>
        </w:rPr>
      </w:pPr>
    </w:p>
    <w:p w14:paraId="07C35997" w14:textId="1D8FD07F" w:rsidR="009C3E12" w:rsidRPr="0031578D" w:rsidRDefault="009C3E12" w:rsidP="00AB4D08">
      <w:pPr>
        <w:pStyle w:val="Prrafodelista"/>
        <w:numPr>
          <w:ilvl w:val="0"/>
          <w:numId w:val="39"/>
        </w:numP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Deterioro</w:t>
      </w:r>
    </w:p>
    <w:p w14:paraId="291CAE5C" w14:textId="77777777" w:rsidR="0039061C" w:rsidRDefault="0039061C" w:rsidP="00AB4D08">
      <w:pPr>
        <w:pStyle w:val="Prrafodelista"/>
        <w:spacing w:after="0" w:line="240" w:lineRule="auto"/>
        <w:ind w:left="567"/>
        <w:jc w:val="both"/>
        <w:rPr>
          <w:rFonts w:ascii="Times New Roman" w:eastAsia="Arial" w:hAnsi="Times New Roman"/>
          <w:sz w:val="24"/>
          <w:szCs w:val="24"/>
        </w:rPr>
      </w:pPr>
    </w:p>
    <w:p w14:paraId="093DD6F7" w14:textId="6DBC30B4" w:rsidR="009C3E12" w:rsidRPr="0031578D" w:rsidRDefault="009C3E12"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lastRenderedPageBreak/>
        <w:t>Para efectos de determinar el deterioro de un activo intangible, el INSTITUTO DE DESARROLLO URBANO – IDU, aplica lo establecido en la Norma Deterioro del Valor de los Activos No Generadores de Efectivo. La compensación procedente de terceros por elementos deteriorados de activos intangibles o por indemnizaciones recibidas producto de pérdidas o abandonos se reconoce como ingreso en el resultado del periodo en el momento en que la compensación sea exigible.</w:t>
      </w:r>
    </w:p>
    <w:p w14:paraId="246C6506" w14:textId="77777777" w:rsidR="009C3E12" w:rsidRPr="0031578D" w:rsidRDefault="009C3E12" w:rsidP="00AB4D08">
      <w:pPr>
        <w:pStyle w:val="Prrafodelista"/>
        <w:spacing w:after="0" w:line="240" w:lineRule="auto"/>
        <w:ind w:left="567"/>
        <w:jc w:val="both"/>
        <w:rPr>
          <w:rFonts w:ascii="Times New Roman" w:hAnsi="Times New Roman"/>
          <w:sz w:val="24"/>
          <w:szCs w:val="24"/>
        </w:rPr>
      </w:pPr>
    </w:p>
    <w:p w14:paraId="016BC78B" w14:textId="77777777" w:rsidR="003473EA" w:rsidRPr="0031578D" w:rsidRDefault="003473EA"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Cuentas por pagar</w:t>
      </w:r>
    </w:p>
    <w:p w14:paraId="6CFDDBD4" w14:textId="7D1E8F55" w:rsidR="003473EA" w:rsidRPr="0031578D" w:rsidRDefault="003473EA" w:rsidP="00AB4D08">
      <w:pPr>
        <w:spacing w:after="0" w:line="240" w:lineRule="auto"/>
        <w:ind w:left="567"/>
        <w:contextualSpacing/>
        <w:jc w:val="both"/>
        <w:rPr>
          <w:rFonts w:ascii="Times New Roman" w:hAnsi="Times New Roman"/>
          <w:sz w:val="24"/>
          <w:szCs w:val="24"/>
        </w:rPr>
      </w:pPr>
    </w:p>
    <w:p w14:paraId="044B9DEF" w14:textId="77777777" w:rsidR="00581BD8" w:rsidRPr="0031578D" w:rsidRDefault="00581BD8"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Se reconoce como cuentas por pagar las obligaciones adquiridas por el INSTITUTO DE DESARROLLO URBANO – IDU, con terceros, originadas en el desarrollo de sus actividades y de las cuales se espere, a futuro, la salida de un flujo financiero fijo o determinable a través de efectivo, equivalentes al efectivo u otro instrumento. </w:t>
      </w:r>
    </w:p>
    <w:p w14:paraId="63F6891A" w14:textId="77777777" w:rsidR="00581BD8" w:rsidRPr="0031578D" w:rsidRDefault="00581BD8" w:rsidP="00AB4D08">
      <w:pPr>
        <w:spacing w:after="0" w:line="240" w:lineRule="auto"/>
        <w:ind w:left="567"/>
        <w:contextualSpacing/>
        <w:jc w:val="both"/>
        <w:rPr>
          <w:rFonts w:ascii="Times New Roman" w:eastAsia="Arial" w:hAnsi="Times New Roman"/>
          <w:sz w:val="24"/>
          <w:szCs w:val="24"/>
        </w:rPr>
      </w:pPr>
    </w:p>
    <w:p w14:paraId="03F69BE4" w14:textId="77777777" w:rsidR="00581BD8" w:rsidRPr="0031578D" w:rsidRDefault="00581BD8"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cuentas por pagar se clasifican en la categoría de costo.  El INSTITUTO DE DESARROLLO URBANO – IDU, mide sus cuentas por pagar por el valor de la transacción. Con posterioridad al reconocimiento, las cuentas por pagar se mantienen por el valor de la transacción.  </w:t>
      </w:r>
    </w:p>
    <w:p w14:paraId="6AF443CE" w14:textId="77777777" w:rsidR="00581BD8" w:rsidRPr="0031578D" w:rsidRDefault="00581BD8" w:rsidP="00AB4D08">
      <w:pPr>
        <w:spacing w:after="0" w:line="240" w:lineRule="auto"/>
        <w:ind w:left="567"/>
        <w:contextualSpacing/>
        <w:jc w:val="both"/>
        <w:rPr>
          <w:rFonts w:ascii="Times New Roman" w:hAnsi="Times New Roman"/>
          <w:sz w:val="24"/>
          <w:szCs w:val="24"/>
        </w:rPr>
      </w:pPr>
    </w:p>
    <w:p w14:paraId="628E1EAD" w14:textId="76BD32AA" w:rsidR="00A02D0E" w:rsidRPr="0031578D" w:rsidRDefault="00A02D0E"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 xml:space="preserve">Beneficios a </w:t>
      </w:r>
      <w:r w:rsidR="00BA70D6" w:rsidRPr="0031578D">
        <w:rPr>
          <w:rFonts w:ascii="Times New Roman" w:hAnsi="Times New Roman"/>
          <w:sz w:val="24"/>
          <w:szCs w:val="24"/>
        </w:rPr>
        <w:t>los empleados</w:t>
      </w:r>
    </w:p>
    <w:p w14:paraId="2D018DC0" w14:textId="77777777" w:rsidR="00D42369" w:rsidRPr="0031578D" w:rsidRDefault="00D42369" w:rsidP="00AB4D08">
      <w:pPr>
        <w:pStyle w:val="Prrafodelista"/>
        <w:pBdr>
          <w:top w:val="nil"/>
          <w:left w:val="nil"/>
          <w:bottom w:val="nil"/>
          <w:right w:val="nil"/>
          <w:between w:val="nil"/>
        </w:pBdr>
        <w:spacing w:after="0" w:line="240" w:lineRule="auto"/>
        <w:ind w:left="1575"/>
        <w:jc w:val="both"/>
        <w:rPr>
          <w:rFonts w:ascii="Times New Roman" w:eastAsia="Arial" w:hAnsi="Times New Roman"/>
          <w:sz w:val="24"/>
          <w:szCs w:val="24"/>
        </w:rPr>
      </w:pPr>
    </w:p>
    <w:p w14:paraId="743F7B39" w14:textId="6E277C0B" w:rsidR="00840AB6" w:rsidRPr="0031578D" w:rsidRDefault="00840AB6"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Beneficios a empleados a corto plazo</w:t>
      </w:r>
    </w:p>
    <w:p w14:paraId="4C59C973" w14:textId="77777777" w:rsidR="0039061C" w:rsidRDefault="0039061C"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p>
    <w:p w14:paraId="3D823376" w14:textId="42671F89" w:rsidR="00840AB6" w:rsidRPr="0031578D" w:rsidRDefault="00840AB6"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El INSTITUTO DE DESARROLLO URBANO – IDU,</w:t>
      </w:r>
      <w:r w:rsidRPr="0031578D">
        <w:rPr>
          <w:rFonts w:ascii="Times New Roman" w:eastAsia="Arial" w:hAnsi="Times New Roman"/>
          <w:b/>
          <w:sz w:val="24"/>
          <w:szCs w:val="24"/>
        </w:rPr>
        <w:t xml:space="preserve"> </w:t>
      </w:r>
      <w:r w:rsidRPr="0031578D">
        <w:rPr>
          <w:rFonts w:ascii="Times New Roman" w:eastAsia="Arial" w:hAnsi="Times New Roman"/>
          <w:sz w:val="24"/>
          <w:szCs w:val="24"/>
        </w:rPr>
        <w:t>reconoce como beneficios a los empleados a corto plazo, aquellos otorgados a los empleados que hayan prestado sus servicios durante el periodo contable y cuya obligación de pago venza dentro de los 12 meses siguientes al cierre del periodo. Hacen parte de tales beneficios, los sueldos, prestaciones sociales y aportes a la seguridad social; los incentivos pagados y los beneficios no monetarios, entre otros.</w:t>
      </w:r>
    </w:p>
    <w:p w14:paraId="46FD0EA8"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p>
    <w:p w14:paraId="7528263C"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Los beneficios a los empleados a corto plazo se reconocen como un gasto y como un pasivo cuando el INSTITUTO DE DESARROLLO URBANO – IDU, consuma el beneficio económico o el potencial de servicio procedente del servicio prestado por el empleado a cambio de los beneficios otorgados. Los beneficios a empleados a corto plazo que no se paguen mensualmente se reconocen en cada mes por el valor de la alícuota correspondiente al porcentaje del servicio prestado durante el mes. </w:t>
      </w:r>
    </w:p>
    <w:p w14:paraId="204FB885"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p>
    <w:p w14:paraId="2D668F5F"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Se reconocen como pasivo, los beneficios a los empleados a corto plazo, medidos por el valor de la obligación derivada de los beneficios definidos al final del periodo contable, después de deducir cualquier pago anticipado si lo hubiera.  </w:t>
      </w:r>
    </w:p>
    <w:p w14:paraId="52970D2C"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 </w:t>
      </w:r>
    </w:p>
    <w:p w14:paraId="07E12CC6"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Cuando se presenten pagos por beneficios a corto plazo que estén condicionados al cumplimiento de determinados requisitos por parte del empleado y este no los haya cumplido parcial o totalmente, se mide por el valor equivalente a la proporción de las </w:t>
      </w:r>
      <w:r w:rsidRPr="0031578D">
        <w:rPr>
          <w:rFonts w:ascii="Times New Roman" w:eastAsia="Arial" w:hAnsi="Times New Roman"/>
          <w:sz w:val="24"/>
          <w:szCs w:val="24"/>
        </w:rPr>
        <w:lastRenderedPageBreak/>
        <w:t>condiciones no cumplidas, con respecto al beneficio total recibido por el empleado y son reconocidos como un activo.</w:t>
      </w:r>
    </w:p>
    <w:p w14:paraId="0CD33B44" w14:textId="77777777" w:rsidR="00F13981" w:rsidRPr="0031578D" w:rsidRDefault="00F13981" w:rsidP="00AB4D08">
      <w:pPr>
        <w:pStyle w:val="Prrafodelista"/>
        <w:pBdr>
          <w:top w:val="nil"/>
          <w:left w:val="nil"/>
          <w:bottom w:val="nil"/>
          <w:right w:val="nil"/>
          <w:between w:val="nil"/>
        </w:pBdr>
        <w:spacing w:after="0" w:line="240" w:lineRule="auto"/>
        <w:ind w:left="1575"/>
        <w:jc w:val="both"/>
        <w:rPr>
          <w:rFonts w:ascii="Times New Roman" w:eastAsia="Arial" w:hAnsi="Times New Roman"/>
          <w:sz w:val="24"/>
          <w:szCs w:val="24"/>
        </w:rPr>
      </w:pPr>
    </w:p>
    <w:p w14:paraId="58776F5B" w14:textId="60A537A2" w:rsidR="00840AB6" w:rsidRPr="0031578D" w:rsidRDefault="00840AB6"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Beneficios a empleados a largo plazo</w:t>
      </w:r>
    </w:p>
    <w:p w14:paraId="2B922C4D" w14:textId="77777777" w:rsidR="0039061C" w:rsidRDefault="0039061C"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p>
    <w:p w14:paraId="6CB10EFE" w14:textId="78F7E89F" w:rsidR="00840AB6" w:rsidRPr="0031578D" w:rsidRDefault="00840AB6"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Se reconoce como beneficios a los empleados a largo plazo, los diferentes de los de corto plazo, de los de post-empleo y de los correspondientes a la terminación del vínculo laboral, que se hayan otorgado a los servidores públicos con vínculo laboral vigente y cuya obligación de pago no venza dentro de los 12 meses siguientes al cierre del periodo en el cual los empleados hayan prestado sus servicios.</w:t>
      </w:r>
    </w:p>
    <w:p w14:paraId="5F99098D" w14:textId="77777777" w:rsidR="00840AB6" w:rsidRPr="0031578D" w:rsidRDefault="00840AB6" w:rsidP="00AB4D08">
      <w:pPr>
        <w:spacing w:after="0" w:line="240" w:lineRule="auto"/>
        <w:ind w:left="567"/>
        <w:contextualSpacing/>
        <w:jc w:val="both"/>
        <w:rPr>
          <w:rFonts w:ascii="Times New Roman" w:eastAsia="Arial" w:hAnsi="Times New Roman"/>
          <w:sz w:val="24"/>
          <w:szCs w:val="24"/>
        </w:rPr>
      </w:pPr>
    </w:p>
    <w:p w14:paraId="2BF7BA14" w14:textId="0D1059FE" w:rsidR="00581BD8" w:rsidRPr="0031578D" w:rsidRDefault="00840AB6"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t>El INSTITUTO DE DESARROLLO URBANO – IDU, reconoce como beneficios a empleados a largo plazo el reconocimiento por permanencia. Los beneficios a los empleados a largo plazo se miden, como mínimo, al final del periodo contable por el valor presente de la obligación derivada de los beneficios definidos, utilizando como factor de descuento la tasa de mercado de los TES emitida por el Gobierno Nacional con plazos similares a los estimados para el pago de las obligaciones.</w:t>
      </w:r>
    </w:p>
    <w:p w14:paraId="59AA4F74" w14:textId="77777777" w:rsidR="00581BD8" w:rsidRPr="0031578D" w:rsidRDefault="00581BD8" w:rsidP="00AB4D08">
      <w:pPr>
        <w:pStyle w:val="Prrafodelista"/>
        <w:spacing w:after="0" w:line="240" w:lineRule="auto"/>
        <w:ind w:left="567"/>
        <w:jc w:val="both"/>
        <w:rPr>
          <w:rFonts w:ascii="Times New Roman" w:hAnsi="Times New Roman"/>
          <w:sz w:val="24"/>
          <w:szCs w:val="24"/>
        </w:rPr>
      </w:pPr>
    </w:p>
    <w:p w14:paraId="1AB91ADD" w14:textId="67B66520" w:rsidR="00705D59" w:rsidRPr="0031578D" w:rsidRDefault="00705D59"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Provisiones</w:t>
      </w:r>
    </w:p>
    <w:p w14:paraId="31FBD6FF" w14:textId="77777777" w:rsidR="00705D59" w:rsidRPr="0031578D" w:rsidRDefault="00705D59" w:rsidP="00AB4D08">
      <w:pPr>
        <w:pStyle w:val="Prrafodelista"/>
        <w:spacing w:after="0" w:line="240" w:lineRule="auto"/>
        <w:ind w:left="567"/>
        <w:jc w:val="both"/>
        <w:rPr>
          <w:rFonts w:ascii="Times New Roman" w:hAnsi="Times New Roman"/>
          <w:sz w:val="24"/>
          <w:szCs w:val="24"/>
        </w:rPr>
      </w:pPr>
    </w:p>
    <w:p w14:paraId="2604A14A"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Son objeto de reconocimiento como provisión las obligaciones contingentes derivadas de: litigios y demandas en contra del INSTITUTO DE DESARROLLO URBANO – IDU, el pacto de garantías en contratos administrativos, los contratos onerosos, las reestructuraciones y los desmantelamientos. </w:t>
      </w:r>
    </w:p>
    <w:p w14:paraId="1AAC5838"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p>
    <w:p w14:paraId="60C128FE"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provisiones se reconocen como un pasivo y un gasto en el resultado del periodo. Sin embargo, las provisiones por desmantelamientos son objeto de reconocimiento como un pasivo y como un mayor valor del activo al cual se asocia este proceso. </w:t>
      </w:r>
    </w:p>
    <w:p w14:paraId="6D4E9181"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p>
    <w:p w14:paraId="7A30FE04"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provisiones se utilizan solo para afrontar los desembolsos para los cuales se reconocieron inicialmente.</w:t>
      </w:r>
    </w:p>
    <w:p w14:paraId="448DDEE8"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p>
    <w:p w14:paraId="11AD4313"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De conformidad con el marco normativo para entidades de gobierno, emitido mediante la Resolución 533 de 2015, estas reconocerán una provisión cuando:</w:t>
      </w:r>
    </w:p>
    <w:p w14:paraId="3EF2ECBF" w14:textId="77777777" w:rsidR="00705D59" w:rsidRPr="0031578D" w:rsidRDefault="00705D59" w:rsidP="00AB4D08">
      <w:pPr>
        <w:spacing w:after="0" w:line="240" w:lineRule="auto"/>
        <w:ind w:left="567"/>
        <w:contextualSpacing/>
        <w:jc w:val="both"/>
        <w:rPr>
          <w:rFonts w:ascii="Times New Roman" w:eastAsia="Arial" w:hAnsi="Times New Roman"/>
          <w:sz w:val="24"/>
          <w:szCs w:val="24"/>
        </w:rPr>
      </w:pPr>
    </w:p>
    <w:p w14:paraId="087121C0" w14:textId="0CCC2FEC" w:rsidR="00705D59" w:rsidRPr="0039061C" w:rsidRDefault="00705D59" w:rsidP="00AB4D08">
      <w:pPr>
        <w:pStyle w:val="Prrafodelista"/>
        <w:numPr>
          <w:ilvl w:val="0"/>
          <w:numId w:val="39"/>
        </w:numPr>
        <w:pBdr>
          <w:top w:val="nil"/>
          <w:left w:val="nil"/>
          <w:bottom w:val="nil"/>
          <w:right w:val="nil"/>
          <w:between w:val="nil"/>
        </w:pBdr>
        <w:spacing w:after="0" w:line="240" w:lineRule="auto"/>
        <w:ind w:left="709" w:hanging="142"/>
        <w:jc w:val="both"/>
        <w:rPr>
          <w:rFonts w:ascii="Times New Roman" w:eastAsia="Arial" w:hAnsi="Times New Roman"/>
          <w:sz w:val="24"/>
          <w:szCs w:val="24"/>
        </w:rPr>
      </w:pPr>
      <w:r w:rsidRPr="0039061C">
        <w:rPr>
          <w:rFonts w:ascii="Times New Roman" w:eastAsia="Arial" w:hAnsi="Times New Roman"/>
          <w:sz w:val="24"/>
          <w:szCs w:val="24"/>
        </w:rPr>
        <w:t>Se tiene una obligación presente (legal o implícita), como</w:t>
      </w:r>
      <w:r w:rsidR="0039061C">
        <w:rPr>
          <w:rFonts w:ascii="Times New Roman" w:eastAsia="Arial" w:hAnsi="Times New Roman"/>
          <w:sz w:val="24"/>
          <w:szCs w:val="24"/>
        </w:rPr>
        <w:t xml:space="preserve"> resultado de un suceso pasado.</w:t>
      </w:r>
    </w:p>
    <w:p w14:paraId="21BA528D" w14:textId="77777777" w:rsidR="0039061C" w:rsidRPr="0031578D" w:rsidRDefault="0039061C" w:rsidP="00AB4D08">
      <w:pPr>
        <w:pStyle w:val="Prrafodelista"/>
        <w:pBdr>
          <w:top w:val="nil"/>
          <w:left w:val="nil"/>
          <w:bottom w:val="nil"/>
          <w:right w:val="nil"/>
          <w:between w:val="nil"/>
        </w:pBdr>
        <w:spacing w:after="0" w:line="240" w:lineRule="auto"/>
        <w:ind w:left="1575"/>
        <w:jc w:val="both"/>
        <w:rPr>
          <w:rFonts w:ascii="Times New Roman" w:eastAsia="Arial" w:hAnsi="Times New Roman"/>
          <w:sz w:val="24"/>
          <w:szCs w:val="24"/>
        </w:rPr>
      </w:pPr>
    </w:p>
    <w:p w14:paraId="5B527B7A" w14:textId="30F59C5C" w:rsidR="00705D59" w:rsidRPr="0031578D" w:rsidRDefault="00705D59" w:rsidP="00AB4D08">
      <w:pPr>
        <w:pStyle w:val="Prrafodelista"/>
        <w:numPr>
          <w:ilvl w:val="0"/>
          <w:numId w:val="39"/>
        </w:numPr>
        <w:pBdr>
          <w:top w:val="nil"/>
          <w:left w:val="nil"/>
          <w:bottom w:val="nil"/>
          <w:right w:val="nil"/>
          <w:between w:val="nil"/>
        </w:pBdr>
        <w:spacing w:after="0" w:line="240" w:lineRule="auto"/>
        <w:ind w:left="567" w:firstLine="0"/>
        <w:jc w:val="both"/>
        <w:rPr>
          <w:rFonts w:ascii="Times New Roman" w:hAnsi="Times New Roman"/>
          <w:sz w:val="24"/>
          <w:szCs w:val="24"/>
        </w:rPr>
      </w:pPr>
      <w:r w:rsidRPr="0031578D">
        <w:rPr>
          <w:rFonts w:ascii="Times New Roman" w:eastAsia="Arial" w:hAnsi="Times New Roman"/>
          <w:sz w:val="24"/>
          <w:szCs w:val="24"/>
        </w:rPr>
        <w:t>Probablemente la entidad deba desprenderse de recursos que concentren beneficios económicos o potencial de servicio para cancelar la obligación y pueda hacerse una estimación fiable del valor de la obligación</w:t>
      </w:r>
      <w:r w:rsidR="0095778D" w:rsidRPr="0031578D">
        <w:rPr>
          <w:rFonts w:ascii="Times New Roman" w:eastAsia="Arial" w:hAnsi="Times New Roman"/>
          <w:sz w:val="24"/>
          <w:szCs w:val="24"/>
        </w:rPr>
        <w:t>.</w:t>
      </w:r>
    </w:p>
    <w:p w14:paraId="0657E505" w14:textId="77777777" w:rsidR="00705D59" w:rsidRPr="0031578D" w:rsidRDefault="00705D59" w:rsidP="00AB4D08">
      <w:pPr>
        <w:pStyle w:val="Prrafodelista"/>
        <w:spacing w:after="0" w:line="240" w:lineRule="auto"/>
        <w:ind w:left="567"/>
        <w:jc w:val="both"/>
        <w:rPr>
          <w:rFonts w:ascii="Times New Roman" w:hAnsi="Times New Roman"/>
          <w:sz w:val="24"/>
          <w:szCs w:val="24"/>
        </w:rPr>
      </w:pPr>
    </w:p>
    <w:p w14:paraId="0EB58AB9"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Respecto a las provisiones originadas en obligaciones implícitas, las entidades deben considerar los acuerdos formales que, aunque no son exigibles legalmente, han creado una expectativa válida frente a terceros: verificando que el mencionado acuerdo haya sido comunicado a los afectados de manera específica y explícita, bien sea mediante acto </w:t>
      </w:r>
      <w:r w:rsidRPr="0031578D">
        <w:rPr>
          <w:rFonts w:ascii="Times New Roman" w:eastAsia="Arial" w:hAnsi="Times New Roman"/>
          <w:sz w:val="24"/>
          <w:szCs w:val="24"/>
        </w:rPr>
        <w:lastRenderedPageBreak/>
        <w:t xml:space="preserve">administrativo o documento equivalente que reconozca la obligación, en el que se consigne el tiempo de cumplimiento y el tipo de obligación, entre otros. </w:t>
      </w:r>
    </w:p>
    <w:p w14:paraId="6597883D"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01526C5F" w14:textId="77777777" w:rsidR="0095778D" w:rsidRPr="0031578D" w:rsidRDefault="0095778D"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Los litigios y demandas en contra del INSTITUTO DE DESARROLLO URBANO – IDU, reportados y valorados en el aplicativo SIPROJ, se reconocen como provisión, cuando las obligaciones derivadas de los mismos son clasificadas como probables, esto es, que tienen una probabilidad final de pérdida superior al 50%, o cuando el fallo más reciente sea desfavorable, con independencia de su probabilidad final. </w:t>
      </w:r>
    </w:p>
    <w:p w14:paraId="521434AE" w14:textId="77777777" w:rsidR="0095778D" w:rsidRPr="0031578D" w:rsidRDefault="0095778D" w:rsidP="00AB4D08">
      <w:pPr>
        <w:spacing w:line="240" w:lineRule="auto"/>
        <w:ind w:left="567"/>
        <w:contextualSpacing/>
        <w:jc w:val="both"/>
        <w:rPr>
          <w:rFonts w:ascii="Times New Roman" w:eastAsia="Arial" w:hAnsi="Times New Roman"/>
          <w:sz w:val="24"/>
          <w:szCs w:val="24"/>
        </w:rPr>
      </w:pPr>
    </w:p>
    <w:p w14:paraId="6C35CB94" w14:textId="77777777" w:rsidR="0095778D" w:rsidRPr="0031578D" w:rsidRDefault="0095778D" w:rsidP="00AB4D08">
      <w:pPr>
        <w:pBdr>
          <w:top w:val="nil"/>
          <w:left w:val="nil"/>
          <w:bottom w:val="nil"/>
          <w:right w:val="nil"/>
          <w:between w:val="nil"/>
        </w:pBd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obligaciones contingentes judiciales correspondientes mecanismos alternativos de solución de conflictos en contra no son objeto de reconocimiento como provisión.  Si el INSTITUTO DE DESARROLLO URBANO – IDU, tiene un contrato oneroso (pérdida futura), las obligaciones que se deriven del mismo son reconocidas y medidas como provisiones, reconociendo previamente cualquier pérdida por deterioro del valor de los activos dedicados a cumplir las obligaciones derivadas del contrato, según los lineamientos establecidos en la política contable de deterioro de Bienes Muebles e Inmuebles.</w:t>
      </w:r>
    </w:p>
    <w:p w14:paraId="66CFE64C" w14:textId="77777777" w:rsidR="0095778D" w:rsidRPr="0031578D" w:rsidRDefault="0095778D" w:rsidP="00AB4D08">
      <w:pPr>
        <w:pBdr>
          <w:top w:val="nil"/>
          <w:left w:val="nil"/>
          <w:bottom w:val="nil"/>
          <w:right w:val="nil"/>
          <w:between w:val="nil"/>
        </w:pBdr>
        <w:spacing w:after="0" w:line="240" w:lineRule="auto"/>
        <w:ind w:left="567"/>
        <w:contextualSpacing/>
        <w:jc w:val="both"/>
        <w:rPr>
          <w:rFonts w:ascii="Times New Roman" w:eastAsia="Arial" w:hAnsi="Times New Roman"/>
          <w:sz w:val="24"/>
          <w:szCs w:val="24"/>
        </w:rPr>
      </w:pPr>
    </w:p>
    <w:p w14:paraId="50C2E36D"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provisiones por litigios y demandas en contra del INSTITUTO DE DESARROLLO URBANO – IDU, se miden por la valoración inicial registrada en el reporte del aplicativo SIPROJ.</w:t>
      </w:r>
    </w:p>
    <w:p w14:paraId="5F9BA310"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70CB8E2D"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Las obligaciones contingentes generadas por el otorgamiento de garantías pactadas en contratos administrativos se miden por el valor de la obligación pecuniaria estipulada contractualmente.</w:t>
      </w:r>
    </w:p>
    <w:p w14:paraId="4C1A4DBB"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2824E2AA"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provisiones originadas en contratos de carácter oneroso se miden por el valor presente de la pérdida esperada asociada al contrato, previa deducción de las recuperaciones del mismo. </w:t>
      </w:r>
    </w:p>
    <w:p w14:paraId="2A186488"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04D587E8"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provisiones son objeto de revisión, con una periodicidad que depende de la causa que las origina y se deben ajustar para reflejar la mejor estimación. </w:t>
      </w:r>
    </w:p>
    <w:p w14:paraId="0ECB823C"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1F39916F" w14:textId="304FFF0E" w:rsidR="0095778D" w:rsidRPr="0031578D" w:rsidRDefault="0095778D" w:rsidP="00AB4D08">
      <w:pPr>
        <w:pStyle w:val="Prrafodelista"/>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Para la actualización periódica de las provisiones por litigios y demandas en contra, se tienen en cuenta las variaciones en la información registrada en el reporte del aplicativo (SIPROJ), en relación con la modificación de la cuantía de valoración, los cambios en la probabilidad final de pérdida o en el estado procesal de la demanda.</w:t>
      </w:r>
    </w:p>
    <w:p w14:paraId="75ED43CB" w14:textId="2A4EB2B1" w:rsidR="0095778D" w:rsidRPr="0031578D" w:rsidRDefault="0095778D"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t>Por otra parte, la actualización de la provisión por efecto de reflejar el valor del dinero en el tiempo, se mide al final de cada vigencia y se reconoce como un gasto financiero (actualización financiera de provisiones).</w:t>
      </w:r>
    </w:p>
    <w:p w14:paraId="7E8D20EB" w14:textId="77777777" w:rsidR="0095778D" w:rsidRPr="0031578D" w:rsidRDefault="0095778D" w:rsidP="00AB4D08">
      <w:pPr>
        <w:pStyle w:val="Prrafodelista"/>
        <w:spacing w:after="0" w:line="240" w:lineRule="auto"/>
        <w:ind w:left="567"/>
        <w:jc w:val="both"/>
        <w:rPr>
          <w:rFonts w:ascii="Times New Roman" w:hAnsi="Times New Roman"/>
          <w:sz w:val="24"/>
          <w:szCs w:val="24"/>
        </w:rPr>
      </w:pPr>
    </w:p>
    <w:p w14:paraId="070F98D1" w14:textId="3C5ABFC1" w:rsidR="00A02D0E" w:rsidRPr="0031578D" w:rsidRDefault="00A02D0E"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Ingresos</w:t>
      </w:r>
    </w:p>
    <w:p w14:paraId="2829F22A" w14:textId="77777777" w:rsidR="0095778D" w:rsidRPr="0031578D" w:rsidRDefault="0095778D" w:rsidP="00AB4D08">
      <w:pPr>
        <w:pStyle w:val="Prrafodelista"/>
        <w:spacing w:after="0" w:line="240" w:lineRule="auto"/>
        <w:ind w:left="567"/>
        <w:jc w:val="both"/>
        <w:rPr>
          <w:rFonts w:ascii="Times New Roman" w:hAnsi="Times New Roman"/>
          <w:sz w:val="24"/>
          <w:szCs w:val="24"/>
        </w:rPr>
      </w:pPr>
    </w:p>
    <w:p w14:paraId="00213413"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El INSTITUTO DE DESARROLLO URBANO – IDU, es responsable del reconocimiento de los ingresos generados en desarrollo de su actividad misional. Para </w:t>
      </w:r>
      <w:r w:rsidRPr="0031578D">
        <w:rPr>
          <w:rFonts w:ascii="Times New Roman" w:eastAsia="Arial" w:hAnsi="Times New Roman"/>
          <w:sz w:val="24"/>
          <w:szCs w:val="24"/>
        </w:rPr>
        <w:lastRenderedPageBreak/>
        <w:t>llevar a cabo un adecuado reconocimiento de los ingresos en la información financiera, se observará la esencia de la transacción, el origen y el hecho generador que permita definir su clasificación en: ingresos originados de transacciones sin contraprestación y los producidos en transacciones con contraprestación.</w:t>
      </w:r>
    </w:p>
    <w:p w14:paraId="14D777CD" w14:textId="77777777" w:rsidR="0095778D" w:rsidRPr="0031578D" w:rsidRDefault="0095778D" w:rsidP="00AB4D08">
      <w:pPr>
        <w:spacing w:after="0" w:line="240" w:lineRule="auto"/>
        <w:ind w:left="567"/>
        <w:contextualSpacing/>
        <w:rPr>
          <w:rFonts w:ascii="Times New Roman" w:eastAsia="Arial" w:hAnsi="Times New Roman"/>
          <w:sz w:val="24"/>
          <w:szCs w:val="24"/>
        </w:rPr>
      </w:pPr>
    </w:p>
    <w:p w14:paraId="291B9E1C" w14:textId="77777777" w:rsidR="0095778D" w:rsidRPr="0031578D" w:rsidRDefault="0095778D"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Los ingresos de transacciones sin contraprestación, corresponden a los conceptos de:</w:t>
      </w:r>
    </w:p>
    <w:p w14:paraId="238D6794" w14:textId="6D066C32" w:rsidR="0095778D" w:rsidRPr="0031578D" w:rsidRDefault="0095778D"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Ingresos no tributarios</w:t>
      </w:r>
    </w:p>
    <w:p w14:paraId="02CB68CB" w14:textId="6C49B334" w:rsidR="0095778D" w:rsidRPr="0031578D" w:rsidRDefault="0095778D"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Ingresos por valorizaciones, que generalmente, el INSTITUTO DE DESARROLLO URBANO – IDU, los obtiene como resultado de la facultad legal que tiene de exigir cobro de valorización.</w:t>
      </w:r>
    </w:p>
    <w:p w14:paraId="507FE6EC" w14:textId="2BAA475D" w:rsidR="0095778D" w:rsidRPr="0031578D" w:rsidRDefault="0095778D"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Ingresos por  transferencias</w:t>
      </w:r>
    </w:p>
    <w:p w14:paraId="55CAC7E6" w14:textId="68C2806A" w:rsidR="0095778D" w:rsidRPr="0031578D" w:rsidRDefault="0095778D"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Otros ingresos</w:t>
      </w:r>
    </w:p>
    <w:p w14:paraId="5F639D11" w14:textId="77777777" w:rsidR="0095778D" w:rsidRPr="0031578D" w:rsidRDefault="0095778D" w:rsidP="00AB4D08">
      <w:pPr>
        <w:pBdr>
          <w:top w:val="nil"/>
          <w:left w:val="nil"/>
          <w:bottom w:val="nil"/>
          <w:right w:val="nil"/>
          <w:between w:val="nil"/>
        </w:pBdr>
        <w:spacing w:line="240" w:lineRule="auto"/>
        <w:ind w:left="567"/>
        <w:contextualSpacing/>
        <w:jc w:val="both"/>
        <w:rPr>
          <w:rFonts w:ascii="Times New Roman" w:eastAsia="Arial" w:hAnsi="Times New Roman"/>
          <w:sz w:val="24"/>
          <w:szCs w:val="24"/>
        </w:rPr>
      </w:pPr>
    </w:p>
    <w:p w14:paraId="0B8D7F34" w14:textId="77777777" w:rsidR="0095778D" w:rsidRPr="0031578D" w:rsidRDefault="0095778D" w:rsidP="00AB4D08">
      <w:pPr>
        <w:spacing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Los ingresos de transacciones con contraprestación, corresponden a los conceptos de:</w:t>
      </w:r>
    </w:p>
    <w:p w14:paraId="4E55A231" w14:textId="10779855" w:rsidR="0095778D" w:rsidRPr="0031578D" w:rsidRDefault="0095778D"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Venta bienes</w:t>
      </w:r>
    </w:p>
    <w:p w14:paraId="463C0366" w14:textId="35A4131B" w:rsidR="0095778D" w:rsidRPr="0031578D" w:rsidRDefault="0095778D" w:rsidP="00AB4D08">
      <w:pPr>
        <w:pStyle w:val="Prrafodelista"/>
        <w:numPr>
          <w:ilvl w:val="0"/>
          <w:numId w:val="39"/>
        </w:numPr>
        <w:pBdr>
          <w:top w:val="nil"/>
          <w:left w:val="nil"/>
          <w:bottom w:val="nil"/>
          <w:right w:val="nil"/>
          <w:between w:val="nil"/>
        </w:pBdr>
        <w:spacing w:line="240" w:lineRule="auto"/>
        <w:jc w:val="both"/>
        <w:rPr>
          <w:rFonts w:ascii="Times New Roman" w:eastAsia="Arial" w:hAnsi="Times New Roman"/>
          <w:sz w:val="24"/>
          <w:szCs w:val="24"/>
        </w:rPr>
      </w:pPr>
      <w:r w:rsidRPr="0031578D">
        <w:rPr>
          <w:rFonts w:ascii="Times New Roman" w:eastAsia="Arial" w:hAnsi="Times New Roman"/>
          <w:sz w:val="24"/>
          <w:szCs w:val="24"/>
        </w:rPr>
        <w:t>Otros Ingresos</w:t>
      </w:r>
    </w:p>
    <w:p w14:paraId="6C3C0222" w14:textId="50AC44AA" w:rsidR="0095778D" w:rsidRDefault="0095778D" w:rsidP="00AB4D08">
      <w:pPr>
        <w:pStyle w:val="Prrafodelista"/>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Los descuentos relacionados con los ingresos, se reconocen como un menor valor de los mismos.</w:t>
      </w:r>
    </w:p>
    <w:p w14:paraId="49B5CEC8" w14:textId="77777777" w:rsidR="002A465C" w:rsidRPr="0031578D" w:rsidRDefault="002A465C" w:rsidP="00AB4D08">
      <w:pPr>
        <w:pStyle w:val="Prrafodelista"/>
        <w:spacing w:after="0" w:line="240" w:lineRule="auto"/>
        <w:ind w:left="567"/>
        <w:jc w:val="both"/>
        <w:rPr>
          <w:rFonts w:ascii="Times New Roman" w:hAnsi="Times New Roman"/>
          <w:sz w:val="24"/>
          <w:szCs w:val="24"/>
        </w:rPr>
      </w:pPr>
    </w:p>
    <w:p w14:paraId="56208CFC" w14:textId="624DB3B5" w:rsidR="0095778D" w:rsidRDefault="0095778D" w:rsidP="00AB4D08">
      <w:pPr>
        <w:pStyle w:val="Prrafodelista"/>
        <w:numPr>
          <w:ilvl w:val="0"/>
          <w:numId w:val="39"/>
        </w:numPr>
        <w:pBdr>
          <w:top w:val="nil"/>
          <w:left w:val="nil"/>
          <w:bottom w:val="nil"/>
          <w:right w:val="nil"/>
          <w:between w:val="nil"/>
        </w:pBdr>
        <w:spacing w:line="240" w:lineRule="auto"/>
        <w:rPr>
          <w:rFonts w:ascii="Times New Roman" w:eastAsia="Arial" w:hAnsi="Times New Roman"/>
          <w:sz w:val="24"/>
          <w:szCs w:val="24"/>
        </w:rPr>
      </w:pPr>
      <w:r w:rsidRPr="0031578D">
        <w:rPr>
          <w:rFonts w:ascii="Times New Roman" w:eastAsia="Arial" w:hAnsi="Times New Roman"/>
          <w:sz w:val="24"/>
          <w:szCs w:val="24"/>
        </w:rPr>
        <w:t>Reconocimiento de ingresos</w:t>
      </w:r>
    </w:p>
    <w:tbl>
      <w:tblPr>
        <w:tblStyle w:val="Tablaconcuadrcula"/>
        <w:tblW w:w="9039" w:type="dxa"/>
        <w:tblLayout w:type="fixed"/>
        <w:tblLook w:val="04A0" w:firstRow="1" w:lastRow="0" w:firstColumn="1" w:lastColumn="0" w:noHBand="0" w:noVBand="1"/>
      </w:tblPr>
      <w:tblGrid>
        <w:gridCol w:w="1384"/>
        <w:gridCol w:w="2410"/>
        <w:gridCol w:w="3402"/>
        <w:gridCol w:w="1843"/>
      </w:tblGrid>
      <w:tr w:rsidR="002A465C" w:rsidRPr="003D34DF" w14:paraId="5B58040F" w14:textId="77777777" w:rsidTr="003D16FB">
        <w:tc>
          <w:tcPr>
            <w:tcW w:w="1384" w:type="dxa"/>
          </w:tcPr>
          <w:p w14:paraId="2373BE21" w14:textId="77777777" w:rsidR="002A465C" w:rsidRPr="002A465C" w:rsidRDefault="002A465C" w:rsidP="00AB4D08">
            <w:pPr>
              <w:autoSpaceDE w:val="0"/>
              <w:autoSpaceDN w:val="0"/>
              <w:adjustRightInd w:val="0"/>
              <w:spacing w:line="240" w:lineRule="auto"/>
              <w:contextualSpacing/>
              <w:jc w:val="center"/>
              <w:rPr>
                <w:rFonts w:ascii="Times New Roman" w:hAnsi="Times New Roman"/>
                <w:b/>
              </w:rPr>
            </w:pPr>
            <w:r w:rsidRPr="002A465C">
              <w:rPr>
                <w:rFonts w:ascii="Times New Roman" w:hAnsi="Times New Roman"/>
                <w:b/>
              </w:rPr>
              <w:t>Partidas</w:t>
            </w:r>
          </w:p>
        </w:tc>
        <w:tc>
          <w:tcPr>
            <w:tcW w:w="2410" w:type="dxa"/>
          </w:tcPr>
          <w:p w14:paraId="2A51B9ED" w14:textId="77777777" w:rsidR="002A465C" w:rsidRPr="002A465C" w:rsidRDefault="002A465C" w:rsidP="00AB4D08">
            <w:pPr>
              <w:autoSpaceDE w:val="0"/>
              <w:autoSpaceDN w:val="0"/>
              <w:adjustRightInd w:val="0"/>
              <w:spacing w:line="240" w:lineRule="auto"/>
              <w:contextualSpacing/>
              <w:jc w:val="center"/>
              <w:rPr>
                <w:rFonts w:ascii="Times New Roman" w:hAnsi="Times New Roman"/>
                <w:b/>
              </w:rPr>
            </w:pPr>
            <w:r w:rsidRPr="002A465C">
              <w:rPr>
                <w:rFonts w:ascii="Times New Roman" w:hAnsi="Times New Roman"/>
                <w:b/>
              </w:rPr>
              <w:t>Definición</w:t>
            </w:r>
          </w:p>
        </w:tc>
        <w:tc>
          <w:tcPr>
            <w:tcW w:w="3402" w:type="dxa"/>
          </w:tcPr>
          <w:p w14:paraId="1C568CF2" w14:textId="77777777" w:rsidR="002A465C" w:rsidRPr="002A465C" w:rsidRDefault="002A465C" w:rsidP="00AB4D08">
            <w:pPr>
              <w:autoSpaceDE w:val="0"/>
              <w:autoSpaceDN w:val="0"/>
              <w:adjustRightInd w:val="0"/>
              <w:spacing w:line="240" w:lineRule="auto"/>
              <w:contextualSpacing/>
              <w:jc w:val="center"/>
              <w:rPr>
                <w:rFonts w:ascii="Times New Roman" w:hAnsi="Times New Roman"/>
                <w:b/>
              </w:rPr>
            </w:pPr>
            <w:r w:rsidRPr="002A465C">
              <w:rPr>
                <w:rFonts w:ascii="Times New Roman" w:hAnsi="Times New Roman"/>
                <w:b/>
              </w:rPr>
              <w:t>Reconocimiento</w:t>
            </w:r>
          </w:p>
        </w:tc>
        <w:tc>
          <w:tcPr>
            <w:tcW w:w="1843" w:type="dxa"/>
          </w:tcPr>
          <w:p w14:paraId="3F69DD35" w14:textId="77777777" w:rsidR="002A465C" w:rsidRPr="002A465C" w:rsidRDefault="002A465C" w:rsidP="00AB4D08">
            <w:pPr>
              <w:autoSpaceDE w:val="0"/>
              <w:autoSpaceDN w:val="0"/>
              <w:adjustRightInd w:val="0"/>
              <w:spacing w:line="240" w:lineRule="auto"/>
              <w:contextualSpacing/>
              <w:jc w:val="center"/>
              <w:rPr>
                <w:rFonts w:ascii="Times New Roman" w:hAnsi="Times New Roman"/>
                <w:b/>
              </w:rPr>
            </w:pPr>
            <w:r w:rsidRPr="002A465C">
              <w:rPr>
                <w:rFonts w:ascii="Times New Roman" w:hAnsi="Times New Roman"/>
                <w:b/>
              </w:rPr>
              <w:t>Medición</w:t>
            </w:r>
          </w:p>
        </w:tc>
      </w:tr>
      <w:tr w:rsidR="002A465C" w:rsidRPr="003D34DF" w14:paraId="2B42ADD5" w14:textId="77777777" w:rsidTr="003D16FB">
        <w:tc>
          <w:tcPr>
            <w:tcW w:w="1384" w:type="dxa"/>
          </w:tcPr>
          <w:p w14:paraId="5AA08A11" w14:textId="77777777" w:rsidR="002A465C" w:rsidRPr="002A465C" w:rsidRDefault="002A465C" w:rsidP="00AB4D08">
            <w:pPr>
              <w:autoSpaceDE w:val="0"/>
              <w:autoSpaceDN w:val="0"/>
              <w:adjustRightInd w:val="0"/>
              <w:spacing w:line="240" w:lineRule="auto"/>
              <w:contextualSpacing/>
              <w:rPr>
                <w:rFonts w:ascii="Times New Roman" w:hAnsi="Times New Roman"/>
              </w:rPr>
            </w:pPr>
            <w:r w:rsidRPr="002A465C">
              <w:rPr>
                <w:rFonts w:ascii="Times New Roman" w:hAnsi="Times New Roman"/>
              </w:rPr>
              <w:t>Ingresos fiscales no tributarios</w:t>
            </w:r>
          </w:p>
        </w:tc>
        <w:tc>
          <w:tcPr>
            <w:tcW w:w="2410" w:type="dxa"/>
          </w:tcPr>
          <w:p w14:paraId="5BDD871D" w14:textId="77777777" w:rsidR="002A465C" w:rsidRPr="002A465C" w:rsidRDefault="002A465C" w:rsidP="00AB4D08">
            <w:pPr>
              <w:autoSpaceDE w:val="0"/>
              <w:autoSpaceDN w:val="0"/>
              <w:adjustRightInd w:val="0"/>
              <w:spacing w:line="240" w:lineRule="auto"/>
              <w:contextualSpacing/>
              <w:rPr>
                <w:rFonts w:ascii="Times New Roman" w:hAnsi="Times New Roman"/>
              </w:rPr>
            </w:pPr>
            <w:r w:rsidRPr="002A465C">
              <w:rPr>
                <w:rFonts w:ascii="Times New Roman" w:hAnsi="Times New Roman"/>
              </w:rPr>
              <w:t>Representa el valor neto causado por conceptos como: multas, sanciones, contribuciones, devoluciones,  descuentos, entre otros</w:t>
            </w:r>
          </w:p>
        </w:tc>
        <w:tc>
          <w:tcPr>
            <w:tcW w:w="3402" w:type="dxa"/>
          </w:tcPr>
          <w:p w14:paraId="5C9554AD" w14:textId="77777777" w:rsidR="002A465C" w:rsidRPr="002A465C" w:rsidRDefault="002A465C" w:rsidP="00AB4D08">
            <w:pPr>
              <w:autoSpaceDE w:val="0"/>
              <w:autoSpaceDN w:val="0"/>
              <w:adjustRightInd w:val="0"/>
              <w:spacing w:line="240" w:lineRule="auto"/>
              <w:contextualSpacing/>
              <w:rPr>
                <w:rFonts w:ascii="Times New Roman" w:hAnsi="Times New Roman"/>
              </w:rPr>
            </w:pPr>
            <w:r w:rsidRPr="002A465C">
              <w:rPr>
                <w:rFonts w:ascii="Times New Roman" w:hAnsi="Times New Roman"/>
              </w:rPr>
              <w:t xml:space="preserve">Se reconocen cuando quede en firme el acto administrativo en los que se liquiden las obligaciones a cargo del tercero.  </w:t>
            </w:r>
          </w:p>
          <w:p w14:paraId="67DE5553" w14:textId="77777777" w:rsidR="002A465C" w:rsidRPr="002A465C" w:rsidRDefault="002A465C" w:rsidP="00AB4D08">
            <w:pPr>
              <w:autoSpaceDE w:val="0"/>
              <w:autoSpaceDN w:val="0"/>
              <w:adjustRightInd w:val="0"/>
              <w:spacing w:line="240" w:lineRule="auto"/>
              <w:contextualSpacing/>
              <w:rPr>
                <w:rFonts w:ascii="Times New Roman" w:hAnsi="Times New Roman"/>
              </w:rPr>
            </w:pPr>
          </w:p>
          <w:p w14:paraId="577C413E" w14:textId="77777777" w:rsidR="002A465C" w:rsidRPr="002A465C" w:rsidRDefault="002A465C" w:rsidP="00AB4D08">
            <w:pPr>
              <w:autoSpaceDE w:val="0"/>
              <w:autoSpaceDN w:val="0"/>
              <w:adjustRightInd w:val="0"/>
              <w:spacing w:line="240" w:lineRule="auto"/>
              <w:contextualSpacing/>
              <w:rPr>
                <w:rFonts w:ascii="Times New Roman" w:hAnsi="Times New Roman"/>
              </w:rPr>
            </w:pPr>
            <w:r w:rsidRPr="002A465C">
              <w:rPr>
                <w:rFonts w:ascii="Times New Roman" w:hAnsi="Times New Roman"/>
              </w:rPr>
              <w:t>Las multas y sanciones se reconocen cuando quede en firme la decisión del INSTITUTO DE DESARROLLO URBANO – IDU, o de una autoridad competente, como consecuencia de la infracción a requerimientos legales. Además, cuando contra los actos administrativos soporte de esta decisión no proceda ningún recurso, en la vía gubernativa, por parte del sancionado.</w:t>
            </w:r>
          </w:p>
        </w:tc>
        <w:tc>
          <w:tcPr>
            <w:tcW w:w="1843" w:type="dxa"/>
          </w:tcPr>
          <w:p w14:paraId="54DFDD89" w14:textId="77777777" w:rsidR="002A465C" w:rsidRPr="002A465C" w:rsidRDefault="002A465C" w:rsidP="00AB4D08">
            <w:pPr>
              <w:autoSpaceDE w:val="0"/>
              <w:autoSpaceDN w:val="0"/>
              <w:adjustRightInd w:val="0"/>
              <w:spacing w:line="240" w:lineRule="auto"/>
              <w:contextualSpacing/>
              <w:rPr>
                <w:rFonts w:ascii="Times New Roman" w:hAnsi="Times New Roman"/>
              </w:rPr>
            </w:pPr>
            <w:r w:rsidRPr="002A465C">
              <w:rPr>
                <w:rFonts w:ascii="Times New Roman" w:hAnsi="Times New Roman"/>
              </w:rPr>
              <w:t xml:space="preserve">Se miden por el valor liquidado en las declaraciones o en los actos administrativos que le soportan </w:t>
            </w:r>
          </w:p>
        </w:tc>
      </w:tr>
    </w:tbl>
    <w:p w14:paraId="282EB8C9" w14:textId="77777777" w:rsidR="002A465C" w:rsidRDefault="002A465C" w:rsidP="00AB4D08">
      <w:pPr>
        <w:pStyle w:val="Prrafodelista"/>
        <w:pBdr>
          <w:top w:val="nil"/>
          <w:left w:val="nil"/>
          <w:bottom w:val="nil"/>
          <w:right w:val="nil"/>
          <w:between w:val="nil"/>
        </w:pBdr>
        <w:spacing w:line="240" w:lineRule="auto"/>
        <w:ind w:left="1575"/>
        <w:rPr>
          <w:rFonts w:ascii="Times New Roman" w:eastAsia="Arial" w:hAnsi="Times New Roman"/>
          <w:sz w:val="24"/>
          <w:szCs w:val="24"/>
        </w:rPr>
      </w:pPr>
    </w:p>
    <w:p w14:paraId="2604DE98" w14:textId="77777777" w:rsidR="00CB3EE4" w:rsidRPr="0031578D" w:rsidRDefault="00CB3EE4" w:rsidP="00AB4D08">
      <w:pPr>
        <w:pStyle w:val="Prrafodelista"/>
        <w:pBdr>
          <w:top w:val="nil"/>
          <w:left w:val="nil"/>
          <w:bottom w:val="nil"/>
          <w:right w:val="nil"/>
          <w:between w:val="nil"/>
        </w:pBdr>
        <w:spacing w:line="240" w:lineRule="auto"/>
        <w:ind w:left="1575"/>
        <w:rPr>
          <w:rFonts w:ascii="Times New Roman" w:eastAsia="Arial" w:hAnsi="Times New Roman"/>
          <w:sz w:val="24"/>
          <w:szCs w:val="24"/>
        </w:rPr>
      </w:pPr>
    </w:p>
    <w:p w14:paraId="3872A4DA" w14:textId="77777777" w:rsidR="0095778D" w:rsidRPr="0031578D" w:rsidRDefault="0095778D" w:rsidP="00AB4D08">
      <w:pPr>
        <w:pStyle w:val="Prrafodelista"/>
        <w:numPr>
          <w:ilvl w:val="0"/>
          <w:numId w:val="39"/>
        </w:numPr>
        <w:spacing w:line="240" w:lineRule="auto"/>
        <w:rPr>
          <w:rFonts w:ascii="Times New Roman" w:eastAsia="Arial" w:hAnsi="Times New Roman"/>
          <w:sz w:val="24"/>
          <w:szCs w:val="24"/>
        </w:rPr>
      </w:pPr>
      <w:r w:rsidRPr="0031578D">
        <w:rPr>
          <w:rFonts w:ascii="Times New Roman" w:eastAsia="Arial" w:hAnsi="Times New Roman"/>
          <w:sz w:val="24"/>
          <w:szCs w:val="24"/>
        </w:rPr>
        <w:t>Transferencias:</w:t>
      </w:r>
    </w:p>
    <w:p w14:paraId="212B0315"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transferencias se entienden como recursos monetarios o no monetarios recibidos de terceros en razón de: recursos entregados por otra entidad pública, donaciones, </w:t>
      </w:r>
      <w:r w:rsidRPr="0031578D">
        <w:rPr>
          <w:rFonts w:ascii="Times New Roman" w:eastAsia="Arial" w:hAnsi="Times New Roman"/>
          <w:sz w:val="24"/>
          <w:szCs w:val="24"/>
        </w:rPr>
        <w:lastRenderedPageBreak/>
        <w:t>condonaciones o toma de obligaciones por parte de terceros, bienes declarados a favor de la nación, entre otros.</w:t>
      </w:r>
    </w:p>
    <w:p w14:paraId="0A2205D6" w14:textId="77777777" w:rsidR="0095778D" w:rsidRPr="0031578D" w:rsidRDefault="0095778D" w:rsidP="00AB4D08">
      <w:pPr>
        <w:spacing w:after="0" w:line="240" w:lineRule="auto"/>
        <w:ind w:left="567"/>
        <w:contextualSpacing/>
        <w:rPr>
          <w:rFonts w:ascii="Times New Roman" w:eastAsia="Arial" w:hAnsi="Times New Roman"/>
          <w:sz w:val="24"/>
          <w:szCs w:val="24"/>
        </w:rPr>
      </w:pPr>
    </w:p>
    <w:p w14:paraId="5646A7FA"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Estos recursos pueden tener especificaciones sobre el uso o destinación de los mismos, es decir, estipulaciones, originados en la normatividad vigente o en acuerdos de carácter vinculante. En el caso que se presenten estipulaciones con restricciones, el INSTITUTO DE DESARROLLO URBANO – IDU, reconoce un ingreso del periodo cuando se cumpla con los requerimientos de control del activo transferido. Cuando se trate de estipulaciones con condiciones se reconoce el recurso recibido contra un pasivo, que se disminuye contra el ingreso a medida que se cumplan los requerimientos asociados a su uso o destinación. </w:t>
      </w:r>
    </w:p>
    <w:p w14:paraId="6FA6F55D"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p>
    <w:p w14:paraId="731FDEED" w14:textId="77777777" w:rsidR="0095778D" w:rsidRPr="0031578D" w:rsidRDefault="0095778D"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movilización de los recursos a través de la cuenta única distrital y los reintegros asociados, que se realicen de la administración central distrital a los establecimientos públicos, se reconocen en las cuentas de operaciones interinstitucionales respectivas.</w:t>
      </w:r>
    </w:p>
    <w:p w14:paraId="28B82AE7" w14:textId="77777777" w:rsidR="0095778D" w:rsidRPr="0031578D" w:rsidRDefault="0095778D" w:rsidP="00AB4D08">
      <w:pPr>
        <w:spacing w:after="0" w:line="240" w:lineRule="auto"/>
        <w:ind w:left="567"/>
        <w:contextualSpacing/>
        <w:rPr>
          <w:rFonts w:ascii="Times New Roman" w:eastAsia="Arial" w:hAnsi="Times New Roman"/>
          <w:sz w:val="24"/>
          <w:szCs w:val="24"/>
        </w:rPr>
      </w:pPr>
    </w:p>
    <w:p w14:paraId="278CCE56" w14:textId="79AFBF07" w:rsidR="0095778D" w:rsidRDefault="0095778D" w:rsidP="00AB4D08">
      <w:pPr>
        <w:pStyle w:val="Prrafodelista"/>
        <w:spacing w:after="0" w:line="240" w:lineRule="auto"/>
        <w:ind w:left="567"/>
        <w:jc w:val="both"/>
        <w:rPr>
          <w:rFonts w:ascii="Times New Roman" w:hAnsi="Times New Roman"/>
          <w:sz w:val="24"/>
          <w:szCs w:val="24"/>
        </w:rPr>
      </w:pPr>
      <w:r w:rsidRPr="0031578D">
        <w:rPr>
          <w:rFonts w:ascii="Times New Roman" w:eastAsia="Arial" w:hAnsi="Times New Roman"/>
          <w:sz w:val="24"/>
          <w:szCs w:val="24"/>
        </w:rPr>
        <w:t>A continuación se señala el tratamiento contable de las transferencias.</w:t>
      </w:r>
    </w:p>
    <w:p w14:paraId="4E59E32C" w14:textId="77777777" w:rsidR="00CB3EE4" w:rsidRDefault="00CB3EE4" w:rsidP="00AB4D08">
      <w:pPr>
        <w:pStyle w:val="Prrafodelista"/>
        <w:spacing w:after="0" w:line="240" w:lineRule="auto"/>
        <w:ind w:left="567"/>
        <w:jc w:val="both"/>
        <w:rPr>
          <w:rFonts w:ascii="Times New Roman" w:hAnsi="Times New Roman"/>
          <w:sz w:val="24"/>
          <w:szCs w:val="24"/>
        </w:rPr>
      </w:pPr>
    </w:p>
    <w:tbl>
      <w:tblPr>
        <w:tblStyle w:val="Tablaconcuadrcula"/>
        <w:tblW w:w="9039" w:type="dxa"/>
        <w:tblLayout w:type="fixed"/>
        <w:tblLook w:val="04A0" w:firstRow="1" w:lastRow="0" w:firstColumn="1" w:lastColumn="0" w:noHBand="0" w:noVBand="1"/>
      </w:tblPr>
      <w:tblGrid>
        <w:gridCol w:w="2235"/>
        <w:gridCol w:w="3543"/>
        <w:gridCol w:w="3261"/>
      </w:tblGrid>
      <w:tr w:rsidR="00CB3EE4" w:rsidRPr="00B539BE" w14:paraId="2A163FBC" w14:textId="77777777" w:rsidTr="003D16FB">
        <w:tc>
          <w:tcPr>
            <w:tcW w:w="2235" w:type="dxa"/>
          </w:tcPr>
          <w:p w14:paraId="11E4DB8F" w14:textId="77777777" w:rsidR="00CB3EE4" w:rsidRPr="00B539BE" w:rsidRDefault="00CB3EE4" w:rsidP="00AB4D08">
            <w:pPr>
              <w:autoSpaceDE w:val="0"/>
              <w:autoSpaceDN w:val="0"/>
              <w:adjustRightInd w:val="0"/>
              <w:spacing w:line="240" w:lineRule="auto"/>
              <w:contextualSpacing/>
              <w:jc w:val="center"/>
              <w:rPr>
                <w:rFonts w:ascii="Times New Roman" w:hAnsi="Times New Roman"/>
                <w:b/>
              </w:rPr>
            </w:pPr>
            <w:r w:rsidRPr="00B539BE">
              <w:rPr>
                <w:rFonts w:ascii="Times New Roman" w:hAnsi="Times New Roman"/>
                <w:b/>
              </w:rPr>
              <w:t>Partida</w:t>
            </w:r>
          </w:p>
        </w:tc>
        <w:tc>
          <w:tcPr>
            <w:tcW w:w="3543" w:type="dxa"/>
          </w:tcPr>
          <w:p w14:paraId="13C7CA47" w14:textId="77777777" w:rsidR="00CB3EE4" w:rsidRPr="00B539BE" w:rsidRDefault="00CB3EE4" w:rsidP="00AB4D08">
            <w:pPr>
              <w:autoSpaceDE w:val="0"/>
              <w:autoSpaceDN w:val="0"/>
              <w:adjustRightInd w:val="0"/>
              <w:spacing w:line="240" w:lineRule="auto"/>
              <w:contextualSpacing/>
              <w:jc w:val="center"/>
              <w:rPr>
                <w:rFonts w:ascii="Times New Roman" w:hAnsi="Times New Roman"/>
                <w:b/>
              </w:rPr>
            </w:pPr>
            <w:r w:rsidRPr="00B539BE">
              <w:rPr>
                <w:rFonts w:ascii="Times New Roman" w:hAnsi="Times New Roman"/>
                <w:b/>
              </w:rPr>
              <w:t>Se Reconoce cuando…</w:t>
            </w:r>
          </w:p>
        </w:tc>
        <w:tc>
          <w:tcPr>
            <w:tcW w:w="3261" w:type="dxa"/>
          </w:tcPr>
          <w:p w14:paraId="72A7CAA6" w14:textId="77777777" w:rsidR="00CB3EE4" w:rsidRPr="00B539BE" w:rsidRDefault="00CB3EE4" w:rsidP="00AB4D08">
            <w:pPr>
              <w:autoSpaceDE w:val="0"/>
              <w:autoSpaceDN w:val="0"/>
              <w:adjustRightInd w:val="0"/>
              <w:spacing w:line="240" w:lineRule="auto"/>
              <w:contextualSpacing/>
              <w:jc w:val="center"/>
              <w:rPr>
                <w:rFonts w:ascii="Times New Roman" w:hAnsi="Times New Roman"/>
                <w:b/>
              </w:rPr>
            </w:pPr>
            <w:r w:rsidRPr="00B539BE">
              <w:rPr>
                <w:rFonts w:ascii="Times New Roman" w:hAnsi="Times New Roman"/>
                <w:b/>
              </w:rPr>
              <w:t>Se Mide por…</w:t>
            </w:r>
          </w:p>
        </w:tc>
      </w:tr>
      <w:tr w:rsidR="00CB3EE4" w:rsidRPr="00B539BE" w14:paraId="43DC6895" w14:textId="77777777" w:rsidTr="003D16FB">
        <w:tc>
          <w:tcPr>
            <w:tcW w:w="2235" w:type="dxa"/>
          </w:tcPr>
          <w:p w14:paraId="3297EBD6"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Transferencias en efectivo entre entidades del gobierno</w:t>
            </w:r>
          </w:p>
        </w:tc>
        <w:tc>
          <w:tcPr>
            <w:tcW w:w="3543" w:type="dxa"/>
          </w:tcPr>
          <w:p w14:paraId="093F30BC"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La entidad cedente expida el acto administrativo (según los procedimientos establecidos para cada tipo de recursos), en el que se establece la obligación por concepto de la transferencia, salvo que esté sujeta a condiciones, caso en el cual se reconoce como un pasivo.</w:t>
            </w:r>
          </w:p>
        </w:tc>
        <w:tc>
          <w:tcPr>
            <w:tcW w:w="3261" w:type="dxa"/>
          </w:tcPr>
          <w:p w14:paraId="583D546B" w14:textId="77777777" w:rsidR="00CB3EE4" w:rsidRPr="00B539BE" w:rsidRDefault="00CB3EE4" w:rsidP="00AB4D08">
            <w:pPr>
              <w:autoSpaceDE w:val="0"/>
              <w:autoSpaceDN w:val="0"/>
              <w:adjustRightInd w:val="0"/>
              <w:spacing w:line="240" w:lineRule="auto"/>
              <w:contextualSpacing/>
              <w:rPr>
                <w:rFonts w:ascii="Times New Roman" w:hAnsi="Times New Roman"/>
                <w:i/>
              </w:rPr>
            </w:pPr>
            <w:r w:rsidRPr="00B539BE">
              <w:rPr>
                <w:rFonts w:ascii="Times New Roman" w:hAnsi="Times New Roman"/>
              </w:rPr>
              <w:t>El valor recibido.  Si se percibe en moneda extranjera se mide de acuerdo a lo establecido en el Capítulo V – Efecto de las variaciones en las tasas de cambio de la moneda extranjera, de las normas para el reconocimiento, medición, revelación y presentación de los hechos económicos</w:t>
            </w:r>
          </w:p>
        </w:tc>
      </w:tr>
      <w:tr w:rsidR="00CB3EE4" w:rsidRPr="00B539BE" w14:paraId="1C122B41" w14:textId="77777777" w:rsidTr="003D16FB">
        <w:tc>
          <w:tcPr>
            <w:tcW w:w="2235" w:type="dxa"/>
          </w:tcPr>
          <w:p w14:paraId="79A5028D"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Los bienes que reciba la entidad de otras entidades del sector público y las donaciones (no monetarias)</w:t>
            </w:r>
          </w:p>
        </w:tc>
        <w:tc>
          <w:tcPr>
            <w:tcW w:w="3543" w:type="dxa"/>
          </w:tcPr>
          <w:p w14:paraId="4A5FE70A"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La entidad que trasfiere el recurso se obligue de forma legal o de forma vinculante con la transacción.</w:t>
            </w:r>
          </w:p>
        </w:tc>
        <w:tc>
          <w:tcPr>
            <w:tcW w:w="3261" w:type="dxa"/>
          </w:tcPr>
          <w:p w14:paraId="5C2F425F"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Se mide por el valor del mercado del bien recibido, si no se tiene esta información por el costo de reposición y a falta de este, se miden por el valor en libros de los activos recibidos</w:t>
            </w:r>
          </w:p>
        </w:tc>
      </w:tr>
      <w:tr w:rsidR="00CB3EE4" w:rsidRPr="00B539BE" w14:paraId="4375F148" w14:textId="77777777" w:rsidTr="003D16FB">
        <w:tc>
          <w:tcPr>
            <w:tcW w:w="2235" w:type="dxa"/>
          </w:tcPr>
          <w:p w14:paraId="00120FF2"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Los bienes declarados a favor de la nación y los bienes expropiados (no monetarios).</w:t>
            </w:r>
          </w:p>
        </w:tc>
        <w:tc>
          <w:tcPr>
            <w:tcW w:w="3543" w:type="dxa"/>
          </w:tcPr>
          <w:p w14:paraId="4FFA5449"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La autoridad competente expida el acto administrativo o la sentencia judicial correspondiente.</w:t>
            </w:r>
          </w:p>
        </w:tc>
        <w:tc>
          <w:tcPr>
            <w:tcW w:w="3261" w:type="dxa"/>
          </w:tcPr>
          <w:p w14:paraId="51805627" w14:textId="77777777" w:rsidR="00CB3EE4" w:rsidRPr="00B539BE" w:rsidRDefault="00CB3EE4" w:rsidP="00AB4D08">
            <w:pPr>
              <w:autoSpaceDE w:val="0"/>
              <w:autoSpaceDN w:val="0"/>
              <w:adjustRightInd w:val="0"/>
              <w:spacing w:line="240" w:lineRule="auto"/>
              <w:contextualSpacing/>
              <w:rPr>
                <w:rFonts w:ascii="Times New Roman" w:hAnsi="Times New Roman"/>
              </w:rPr>
            </w:pPr>
            <w:r w:rsidRPr="00B539BE">
              <w:rPr>
                <w:rFonts w:ascii="Times New Roman" w:hAnsi="Times New Roman"/>
              </w:rPr>
              <w:t>Se mide por el valor del mercado del bien recibido, si no se tiene esta información por el costo de reposición y a falta de este, se mide por el valor en libros de los activos recibidos.</w:t>
            </w:r>
          </w:p>
        </w:tc>
      </w:tr>
    </w:tbl>
    <w:p w14:paraId="696CE6F3" w14:textId="77777777" w:rsidR="00CB3EE4" w:rsidRPr="0031578D" w:rsidRDefault="00CB3EE4" w:rsidP="00AB4D08">
      <w:pPr>
        <w:pStyle w:val="Prrafodelista"/>
        <w:spacing w:after="0" w:line="240" w:lineRule="auto"/>
        <w:ind w:left="567"/>
        <w:jc w:val="both"/>
        <w:rPr>
          <w:rFonts w:ascii="Times New Roman" w:hAnsi="Times New Roman"/>
          <w:sz w:val="24"/>
          <w:szCs w:val="24"/>
        </w:rPr>
      </w:pPr>
    </w:p>
    <w:p w14:paraId="5FD488AA" w14:textId="1EB62C34" w:rsidR="0095778D" w:rsidRPr="0031578D" w:rsidRDefault="0095778D" w:rsidP="00AB4D08">
      <w:pPr>
        <w:pStyle w:val="Prrafodelista"/>
        <w:spacing w:after="0" w:line="240" w:lineRule="auto"/>
        <w:ind w:left="567"/>
        <w:jc w:val="both"/>
        <w:rPr>
          <w:rFonts w:ascii="Times New Roman" w:hAnsi="Times New Roman"/>
          <w:sz w:val="24"/>
          <w:szCs w:val="24"/>
        </w:rPr>
      </w:pPr>
    </w:p>
    <w:p w14:paraId="5A9BF1B9" w14:textId="338FE98A" w:rsidR="006E10BA" w:rsidRPr="0031578D" w:rsidRDefault="006E10BA"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Activos contingentes</w:t>
      </w:r>
    </w:p>
    <w:p w14:paraId="32FF1598" w14:textId="77777777" w:rsidR="006E10BA" w:rsidRPr="0031578D" w:rsidRDefault="006E10BA" w:rsidP="00AB4D08">
      <w:pPr>
        <w:pStyle w:val="Prrafodelista"/>
        <w:spacing w:after="0" w:line="240" w:lineRule="auto"/>
        <w:ind w:left="567"/>
        <w:jc w:val="both"/>
        <w:rPr>
          <w:rFonts w:ascii="Times New Roman" w:hAnsi="Times New Roman"/>
          <w:sz w:val="24"/>
          <w:szCs w:val="24"/>
        </w:rPr>
      </w:pPr>
    </w:p>
    <w:p w14:paraId="1E724399" w14:textId="77777777" w:rsidR="006E10BA" w:rsidRPr="0031578D" w:rsidRDefault="006E10B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Son activos de naturaleza posible, originados a raíz de sucesos pasados, cuya existencia se confirmará solo por la ocurrencia o, en su caso, por la no ocurrencia de uno o más eventos inciertos en el futuro que no están enteramente bajo el control de la entidad.</w:t>
      </w:r>
    </w:p>
    <w:p w14:paraId="15D06C55" w14:textId="306F7F34" w:rsidR="006E10BA" w:rsidRPr="0031578D" w:rsidRDefault="006E10BA"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lastRenderedPageBreak/>
        <w:t>Activos de naturaleza posible</w:t>
      </w:r>
    </w:p>
    <w:p w14:paraId="79FD873B" w14:textId="77777777" w:rsidR="00E66002" w:rsidRDefault="00E66002"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p>
    <w:p w14:paraId="1CE18D88" w14:textId="77D8BD49" w:rsidR="006E10BA" w:rsidRPr="0031578D" w:rsidRDefault="006E10BA"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 xml:space="preserve">Los activos de naturaleza posible surgidos a raíz de sucesos pasados, cuya existencia se confirmará solo por la ocurrencia o, en su caso, por la no ocurrencia de uno o más eventos inciertos en el futuro que no están enteramente bajo el control del INSTITUTO DE DESARROLLO URBANO – IDU, son denominados activos contingentes, no son objeto de reconocimiento en los estados financieros y dan lugar a revelación en cuentas de orden deudoras.  Los activos contingentes se evalúan de forma continuada, con el fin de asegurar que se reflejen apropiadamente en los estados financieros. </w:t>
      </w:r>
    </w:p>
    <w:p w14:paraId="13FF5741" w14:textId="77777777" w:rsidR="006E10BA" w:rsidRPr="0031578D" w:rsidRDefault="006E10BA" w:rsidP="00AB4D08">
      <w:pPr>
        <w:spacing w:line="240" w:lineRule="auto"/>
        <w:ind w:left="567"/>
        <w:contextualSpacing/>
        <w:jc w:val="both"/>
        <w:rPr>
          <w:rFonts w:ascii="Times New Roman" w:eastAsia="Arial" w:hAnsi="Times New Roman"/>
          <w:sz w:val="24"/>
          <w:szCs w:val="24"/>
        </w:rPr>
      </w:pPr>
    </w:p>
    <w:p w14:paraId="224CD688" w14:textId="0A30C6F5" w:rsidR="006E10BA" w:rsidRPr="0031578D" w:rsidRDefault="006E10BA" w:rsidP="00AB4D08">
      <w:pPr>
        <w:pStyle w:val="Prrafodelista"/>
        <w:numPr>
          <w:ilvl w:val="0"/>
          <w:numId w:val="39"/>
        </w:numPr>
        <w:pBdr>
          <w:top w:val="nil"/>
          <w:left w:val="nil"/>
          <w:bottom w:val="nil"/>
          <w:right w:val="nil"/>
          <w:between w:val="nil"/>
        </w:pBdr>
        <w:spacing w:after="0" w:line="240" w:lineRule="auto"/>
        <w:jc w:val="both"/>
        <w:rPr>
          <w:rFonts w:ascii="Times New Roman" w:eastAsia="Arial" w:hAnsi="Times New Roman"/>
          <w:sz w:val="24"/>
          <w:szCs w:val="24"/>
        </w:rPr>
      </w:pPr>
      <w:r w:rsidRPr="0031578D">
        <w:rPr>
          <w:rFonts w:ascii="Times New Roman" w:eastAsia="Arial" w:hAnsi="Times New Roman"/>
          <w:sz w:val="24"/>
          <w:szCs w:val="24"/>
        </w:rPr>
        <w:t>Activos de naturaleza remota</w:t>
      </w:r>
    </w:p>
    <w:p w14:paraId="0E39E1E4" w14:textId="77777777" w:rsidR="00E66002" w:rsidRDefault="00E66002"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p>
    <w:p w14:paraId="673AB9F2" w14:textId="78CEDDAB" w:rsidR="006E10BA" w:rsidRPr="0031578D" w:rsidRDefault="006E10BA" w:rsidP="00AB4D08">
      <w:pPr>
        <w:pStyle w:val="Prrafodelista"/>
        <w:pBdr>
          <w:top w:val="nil"/>
          <w:left w:val="nil"/>
          <w:bottom w:val="nil"/>
          <w:right w:val="nil"/>
          <w:between w:val="nil"/>
        </w:pBdr>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Se consideran activos de naturaleza remota los derechos contingentes judiciales registrados en el aplicativo diseñado para la administración y control de los procesos judiciales del INSTITUTO DE DESARROLLO URBANO – IDU, por concepto de litigios y demandas iniciados por la entidad, que tienen registrada la admisión de la demanda, sin valoración alguna, y los mecanismos alternativos de solución de conflictos iniciados por la entidad, que no tienen asignada cuantía para su pretensión inicial o con valor igual a cero.</w:t>
      </w:r>
    </w:p>
    <w:p w14:paraId="52FC76CB" w14:textId="77777777" w:rsidR="006E10BA" w:rsidRPr="0031578D" w:rsidRDefault="006E10BA" w:rsidP="00AB4D08">
      <w:pPr>
        <w:spacing w:after="0" w:line="240" w:lineRule="auto"/>
        <w:ind w:left="567"/>
        <w:contextualSpacing/>
        <w:jc w:val="both"/>
        <w:rPr>
          <w:rFonts w:ascii="Times New Roman" w:eastAsia="Arial" w:hAnsi="Times New Roman"/>
          <w:sz w:val="24"/>
          <w:szCs w:val="24"/>
        </w:rPr>
      </w:pPr>
    </w:p>
    <w:p w14:paraId="3A662994" w14:textId="77777777" w:rsidR="006E10BA" w:rsidRPr="0031578D" w:rsidRDefault="006E10B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La actualización del contingente judicial, puede conllevar al reconocimiento de un activo contingente, si se estima que la entrada de recursos por el litigio o demanda, o el mecanismo alternativo de solución de conflictos iniciado por el INSTITUTO DE DESARROLLO URBANO – IDU, que fue clasificado como un derecho remoto, es posible, (le fue asignada una pretensión inicial diferente a cero, salvo que no pueda medirse fiablemente este valor.</w:t>
      </w:r>
    </w:p>
    <w:p w14:paraId="10C1131B" w14:textId="77777777" w:rsidR="006E10BA" w:rsidRPr="0031578D" w:rsidRDefault="006E10BA" w:rsidP="00AB4D08">
      <w:pPr>
        <w:pStyle w:val="Prrafodelista"/>
        <w:spacing w:after="0" w:line="240" w:lineRule="auto"/>
        <w:ind w:left="567"/>
        <w:jc w:val="both"/>
        <w:rPr>
          <w:rFonts w:ascii="Times New Roman" w:hAnsi="Times New Roman"/>
          <w:sz w:val="24"/>
          <w:szCs w:val="24"/>
        </w:rPr>
      </w:pPr>
    </w:p>
    <w:p w14:paraId="2B951F99" w14:textId="731892B5" w:rsidR="006E10BA" w:rsidRPr="0031578D" w:rsidRDefault="006E10BA" w:rsidP="00AB4D08">
      <w:pPr>
        <w:pStyle w:val="Prrafodelista"/>
        <w:numPr>
          <w:ilvl w:val="0"/>
          <w:numId w:val="4"/>
        </w:numPr>
        <w:spacing w:after="0" w:line="240" w:lineRule="auto"/>
        <w:ind w:left="567" w:firstLine="0"/>
        <w:jc w:val="both"/>
        <w:rPr>
          <w:rFonts w:ascii="Times New Roman" w:hAnsi="Times New Roman"/>
          <w:sz w:val="24"/>
          <w:szCs w:val="24"/>
        </w:rPr>
      </w:pPr>
      <w:r w:rsidRPr="0031578D">
        <w:rPr>
          <w:rFonts w:ascii="Times New Roman" w:hAnsi="Times New Roman"/>
          <w:sz w:val="24"/>
          <w:szCs w:val="24"/>
        </w:rPr>
        <w:t>Pasivos contingentes</w:t>
      </w:r>
    </w:p>
    <w:p w14:paraId="68232B96" w14:textId="77777777" w:rsidR="0095778D" w:rsidRPr="0031578D" w:rsidRDefault="0095778D" w:rsidP="00AB4D08">
      <w:pPr>
        <w:pStyle w:val="Prrafodelista"/>
        <w:spacing w:after="0" w:line="240" w:lineRule="auto"/>
        <w:ind w:left="567"/>
        <w:jc w:val="both"/>
        <w:rPr>
          <w:rFonts w:ascii="Times New Roman" w:hAnsi="Times New Roman"/>
          <w:sz w:val="24"/>
          <w:szCs w:val="24"/>
        </w:rPr>
      </w:pPr>
    </w:p>
    <w:p w14:paraId="1161CFF8" w14:textId="77777777" w:rsidR="006E10BA" w:rsidRPr="0031578D" w:rsidRDefault="006E10BA" w:rsidP="00AB4D08">
      <w:pPr>
        <w:spacing w:after="0" w:line="240" w:lineRule="auto"/>
        <w:ind w:left="567"/>
        <w:contextualSpacing/>
        <w:jc w:val="both"/>
        <w:rPr>
          <w:rFonts w:ascii="Times New Roman" w:eastAsia="Arial" w:hAnsi="Times New Roman"/>
          <w:sz w:val="24"/>
          <w:szCs w:val="24"/>
        </w:rPr>
      </w:pPr>
      <w:r w:rsidRPr="0031578D">
        <w:rPr>
          <w:rFonts w:ascii="Times New Roman" w:eastAsia="Arial" w:hAnsi="Times New Roman"/>
          <w:sz w:val="24"/>
          <w:szCs w:val="24"/>
        </w:rPr>
        <w:t xml:space="preserve">Las obligaciones posibles surgidas a raíz de sucesos pasados, cuya existencia se confirme solo por la ocurrencia o, por la no ocurrencia de uno o más eventos inciertos en el futuro que no están enteramente bajo el control del INSTITUTO DE DESARROLLO URBANO – IDU, corresponde a los pasivos contingentes, no son objeto de reconocimiento en los estados financieros y dan lugar a revelación en cuentas de orden acreedoras.  </w:t>
      </w:r>
    </w:p>
    <w:p w14:paraId="7074088D" w14:textId="77777777" w:rsidR="006E10BA" w:rsidRPr="0031578D" w:rsidRDefault="006E10BA" w:rsidP="00AB4D08">
      <w:pPr>
        <w:spacing w:after="0" w:line="240" w:lineRule="auto"/>
        <w:ind w:left="567"/>
        <w:contextualSpacing/>
        <w:jc w:val="both"/>
        <w:rPr>
          <w:rFonts w:ascii="Times New Roman" w:eastAsia="Arial" w:hAnsi="Times New Roman"/>
          <w:sz w:val="24"/>
          <w:szCs w:val="24"/>
        </w:rPr>
      </w:pPr>
    </w:p>
    <w:p w14:paraId="284BF98D" w14:textId="2E78F08D" w:rsidR="0095778D" w:rsidRPr="0031578D" w:rsidRDefault="006E10BA" w:rsidP="00AB4D08">
      <w:pPr>
        <w:pStyle w:val="Prrafodelista"/>
        <w:spacing w:after="0" w:line="240" w:lineRule="auto"/>
        <w:ind w:left="567"/>
        <w:jc w:val="both"/>
        <w:rPr>
          <w:rFonts w:ascii="Times New Roman" w:eastAsia="Arial" w:hAnsi="Times New Roman"/>
          <w:sz w:val="24"/>
          <w:szCs w:val="24"/>
        </w:rPr>
      </w:pPr>
      <w:r w:rsidRPr="0031578D">
        <w:rPr>
          <w:rFonts w:ascii="Times New Roman" w:eastAsia="Arial" w:hAnsi="Times New Roman"/>
          <w:sz w:val="24"/>
          <w:szCs w:val="24"/>
        </w:rPr>
        <w:t>Los litigios y demandas en contra del INSTITUTO DE DESARROLLO URBANO – IDU, clasificados en el reporte del aplicativo SIPROJ, como una obligación posible, es decir que tienen una probabilidad final de pérdida mayor al 10% y hasta el 50%, son clasificados como pasivos contingentes, se revela en cuentas de orden acreedoras, y se miden por su cuantía de valoración.  Las obligaciones posibles surgidas por mecanismos alternativos de solución de conflictos en contra, se clasifican como pasivos contingentes cuando en el reporte del aplicativo SIPROJ, tienen asignada una cuantía a su pretensión inicial (siendo este el valor de medición) y su revelación se hará en cuentas de orden acreedoras.</w:t>
      </w:r>
    </w:p>
    <w:p w14:paraId="2FD02ABF" w14:textId="77777777" w:rsidR="006E10BA" w:rsidRDefault="006E10BA" w:rsidP="00AB4D08">
      <w:pPr>
        <w:pStyle w:val="Prrafodelista"/>
        <w:spacing w:after="0" w:line="240" w:lineRule="auto"/>
        <w:ind w:left="567"/>
        <w:jc w:val="both"/>
        <w:rPr>
          <w:rFonts w:ascii="Times New Roman" w:hAnsi="Times New Roman"/>
          <w:sz w:val="24"/>
          <w:szCs w:val="24"/>
        </w:rPr>
      </w:pPr>
    </w:p>
    <w:p w14:paraId="481F9AAB" w14:textId="77777777" w:rsidR="00EC63D5" w:rsidRPr="0031578D" w:rsidRDefault="00EC63D5" w:rsidP="00AB4D08">
      <w:pPr>
        <w:pStyle w:val="Prrafodelista"/>
        <w:spacing w:after="0" w:line="240" w:lineRule="auto"/>
        <w:ind w:left="567"/>
        <w:jc w:val="both"/>
        <w:rPr>
          <w:rFonts w:ascii="Times New Roman" w:hAnsi="Times New Roman"/>
          <w:sz w:val="24"/>
          <w:szCs w:val="24"/>
        </w:rPr>
      </w:pPr>
    </w:p>
    <w:p w14:paraId="083A1A2C" w14:textId="77777777" w:rsidR="00DA56D1" w:rsidRPr="0031578D" w:rsidRDefault="00DA56D1" w:rsidP="00AB4D08">
      <w:pPr>
        <w:pStyle w:val="Prrafodelista"/>
        <w:numPr>
          <w:ilvl w:val="0"/>
          <w:numId w:val="4"/>
        </w:numPr>
        <w:spacing w:after="0" w:line="240" w:lineRule="auto"/>
        <w:jc w:val="both"/>
        <w:rPr>
          <w:rFonts w:ascii="Times New Roman" w:hAnsi="Times New Roman"/>
          <w:b/>
          <w:sz w:val="24"/>
          <w:szCs w:val="24"/>
        </w:rPr>
      </w:pPr>
      <w:r w:rsidRPr="0031578D">
        <w:rPr>
          <w:rFonts w:ascii="Times New Roman" w:hAnsi="Times New Roman"/>
          <w:b/>
          <w:sz w:val="24"/>
          <w:szCs w:val="24"/>
        </w:rPr>
        <w:lastRenderedPageBreak/>
        <w:t>LISTADO DE NOTAS QUE NO LE APLICAN A LA ENTIDAD</w:t>
      </w:r>
    </w:p>
    <w:p w14:paraId="380ABA3D" w14:textId="77777777" w:rsidR="00DA56D1" w:rsidRPr="0031578D" w:rsidRDefault="00DA56D1" w:rsidP="00AB4D08">
      <w:pPr>
        <w:spacing w:after="0" w:line="240" w:lineRule="auto"/>
        <w:ind w:left="709" w:hanging="2"/>
        <w:contextualSpacing/>
        <w:jc w:val="both"/>
        <w:rPr>
          <w:rFonts w:ascii="Times New Roman" w:hAnsi="Times New Roman"/>
          <w:b/>
          <w:sz w:val="24"/>
          <w:szCs w:val="24"/>
        </w:rPr>
      </w:pPr>
    </w:p>
    <w:p w14:paraId="51070F87" w14:textId="77777777" w:rsidR="00A536C4" w:rsidRPr="0031578D" w:rsidRDefault="004B4F6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8. PRÉSTAMOS POR COBRAR</w:t>
      </w:r>
    </w:p>
    <w:p w14:paraId="34D9DC6F" w14:textId="253704FC" w:rsidR="00A536C4"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12. RECURSOS NATURALES NO RENOVABLES</w:t>
      </w:r>
    </w:p>
    <w:p w14:paraId="1C844A04"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13. PROPIEDADES DE INVERSIÓN</w:t>
      </w:r>
    </w:p>
    <w:p w14:paraId="1A184423"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15. ACTIVOS BIOLÓGICOS</w:t>
      </w:r>
    </w:p>
    <w:p w14:paraId="2FFAAD89"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16. OTROS DERECHOS Y GARANTÍAS</w:t>
      </w:r>
    </w:p>
    <w:p w14:paraId="3EE02ACD"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17. ARRENDAMIENTOS</w:t>
      </w:r>
    </w:p>
    <w:p w14:paraId="38D6BFA2"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18. COSTOS DE FINANCIACIÓN</w:t>
      </w:r>
    </w:p>
    <w:p w14:paraId="2182766E"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19. EMISIÓN Y COLOCACIÓN DE TÍTULOS DE DEUDA</w:t>
      </w:r>
    </w:p>
    <w:p w14:paraId="250625DE"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20. PRÉSTAMOS POR PAGAR</w:t>
      </w:r>
    </w:p>
    <w:p w14:paraId="77E76932"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30. COSTOS DE VENTAS</w:t>
      </w:r>
    </w:p>
    <w:p w14:paraId="03BBA22C" w14:textId="77777777" w:rsidR="004E5C1B"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31. COSTOS DE TRANSFORMACIÓN</w:t>
      </w:r>
    </w:p>
    <w:p w14:paraId="2AB8F798" w14:textId="47CDF4BD" w:rsidR="004269BE" w:rsidRPr="0031578D" w:rsidRDefault="00DD7356" w:rsidP="00AB4D08">
      <w:pPr>
        <w:spacing w:line="240" w:lineRule="auto"/>
        <w:ind w:left="709"/>
        <w:contextualSpacing/>
        <w:rPr>
          <w:rFonts w:ascii="Times New Roman" w:hAnsi="Times New Roman"/>
          <w:sz w:val="24"/>
          <w:szCs w:val="24"/>
        </w:rPr>
      </w:pPr>
      <w:r>
        <w:rPr>
          <w:rFonts w:ascii="Times New Roman" w:hAnsi="Times New Roman"/>
          <w:sz w:val="24"/>
          <w:szCs w:val="24"/>
        </w:rPr>
        <w:t xml:space="preserve">NOTA 32. </w:t>
      </w:r>
      <w:r w:rsidR="00ED36F3" w:rsidRPr="00ED36F3">
        <w:rPr>
          <w:rFonts w:ascii="Times New Roman" w:hAnsi="Times New Roman"/>
          <w:sz w:val="24"/>
          <w:szCs w:val="24"/>
        </w:rPr>
        <w:t>ACUERDOS DE CONCESIÓN - ENTIDAD CONCEDENTE</w:t>
      </w:r>
    </w:p>
    <w:p w14:paraId="504920F7"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33. ADMINISTRACIÓN DE RECURSOS DE SEGURIDAD SOCIAL EN PENSIONES (Fondos de Colpensiones)</w:t>
      </w:r>
    </w:p>
    <w:p w14:paraId="2082794D"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34. EFECTOS DE LAS VARIACIONES EN LAS TASAS DE CAMBIO DE LA MONEDA EXTRANJERA</w:t>
      </w:r>
    </w:p>
    <w:p w14:paraId="48744315" w14:textId="77777777" w:rsidR="004E5C1B"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35. IMPUESTO A LAS GANANCIAS</w:t>
      </w:r>
    </w:p>
    <w:p w14:paraId="722D2048" w14:textId="16D88781" w:rsidR="00DA56D1" w:rsidRPr="0031578D" w:rsidRDefault="004E5C1B" w:rsidP="00AB4D08">
      <w:pPr>
        <w:spacing w:line="240" w:lineRule="auto"/>
        <w:ind w:left="709"/>
        <w:contextualSpacing/>
        <w:rPr>
          <w:rFonts w:ascii="Times New Roman" w:hAnsi="Times New Roman"/>
          <w:sz w:val="24"/>
          <w:szCs w:val="24"/>
        </w:rPr>
      </w:pPr>
      <w:r w:rsidRPr="0031578D">
        <w:rPr>
          <w:rFonts w:ascii="Times New Roman" w:hAnsi="Times New Roman"/>
          <w:sz w:val="24"/>
          <w:szCs w:val="24"/>
        </w:rPr>
        <w:t>NOTA 36. COMBINACIÓN Y TRASLADO DE OPERACIONES</w:t>
      </w:r>
    </w:p>
    <w:p w14:paraId="4D7BE7AC" w14:textId="77777777" w:rsidR="00A32FBC" w:rsidRDefault="00A32FBC" w:rsidP="00AB4D08">
      <w:pPr>
        <w:spacing w:after="0" w:line="240" w:lineRule="auto"/>
        <w:contextualSpacing/>
        <w:jc w:val="both"/>
        <w:rPr>
          <w:rFonts w:ascii="Times New Roman" w:hAnsi="Times New Roman"/>
          <w:sz w:val="24"/>
          <w:szCs w:val="24"/>
        </w:rPr>
      </w:pPr>
    </w:p>
    <w:p w14:paraId="0CB6BCCF" w14:textId="1B18677F" w:rsidR="00B5781C" w:rsidRDefault="0096776C" w:rsidP="00AB4D08">
      <w:pPr>
        <w:spacing w:after="0" w:line="240" w:lineRule="auto"/>
        <w:contextualSpacing/>
        <w:jc w:val="both"/>
        <w:rPr>
          <w:rFonts w:ascii="Times New Roman" w:hAnsi="Times New Roman"/>
          <w:sz w:val="24"/>
          <w:szCs w:val="24"/>
        </w:rPr>
      </w:pPr>
      <w:r>
        <w:rPr>
          <w:rFonts w:ascii="Times New Roman" w:hAnsi="Times New Roman"/>
          <w:sz w:val="24"/>
          <w:szCs w:val="24"/>
        </w:rPr>
        <w:t xml:space="preserve">La enumeración de notas utilizadas para la vigencia 2019 en los Estados Financieros del IDU, se presentan en </w:t>
      </w:r>
      <w:r w:rsidR="00B5781C">
        <w:rPr>
          <w:rFonts w:ascii="Times New Roman" w:hAnsi="Times New Roman"/>
          <w:sz w:val="24"/>
          <w:szCs w:val="24"/>
        </w:rPr>
        <w:t>cumplimiento de lo establecido en la Resolución 441 de 2019, emitida por la Contaduría General de la Nación, por medio de la cual se establece “Por la cual se incorpora a la Resolución 706 de 2016 la plantilla para el reporte uniforme de las notas a la Contaduría General de la Nación y la disponibilidad de Anexos de apoyo para su preparación”.</w:t>
      </w:r>
    </w:p>
    <w:p w14:paraId="0BF9856C" w14:textId="104672C7" w:rsidR="00B5781C" w:rsidRDefault="00B5781C" w:rsidP="00AB4D08">
      <w:pPr>
        <w:spacing w:after="0" w:line="240" w:lineRule="auto"/>
        <w:contextualSpacing/>
        <w:jc w:val="both"/>
        <w:rPr>
          <w:rFonts w:ascii="Times New Roman" w:hAnsi="Times New Roman"/>
          <w:sz w:val="24"/>
          <w:szCs w:val="24"/>
        </w:rPr>
      </w:pPr>
      <w:r>
        <w:rPr>
          <w:rFonts w:ascii="Times New Roman" w:hAnsi="Times New Roman"/>
          <w:sz w:val="24"/>
          <w:szCs w:val="24"/>
        </w:rPr>
        <w:tab/>
      </w:r>
    </w:p>
    <w:p w14:paraId="1635CB56" w14:textId="77777777" w:rsidR="00B5781C" w:rsidRPr="00695DFA" w:rsidRDefault="00B5781C" w:rsidP="00AB4D08">
      <w:pPr>
        <w:spacing w:after="0" w:line="240" w:lineRule="auto"/>
        <w:contextualSpacing/>
        <w:jc w:val="both"/>
        <w:rPr>
          <w:rFonts w:ascii="Times New Roman" w:hAnsi="Times New Roman"/>
          <w:sz w:val="24"/>
          <w:szCs w:val="24"/>
        </w:rPr>
      </w:pPr>
    </w:p>
    <w:p w14:paraId="087A17F5" w14:textId="77777777" w:rsidR="00F2570F" w:rsidRPr="00695DFA" w:rsidRDefault="00F2570F" w:rsidP="00AB4D08">
      <w:pPr>
        <w:pStyle w:val="Ttulo1"/>
        <w:contextualSpacing/>
        <w:rPr>
          <w:rFonts w:cs="Times New Roman"/>
          <w:sz w:val="24"/>
          <w:szCs w:val="24"/>
        </w:rPr>
      </w:pPr>
      <w:bookmarkStart w:id="25" w:name="_Toc32317240"/>
      <w:r w:rsidRPr="00695DFA">
        <w:rPr>
          <w:rFonts w:cs="Times New Roman"/>
          <w:sz w:val="24"/>
          <w:szCs w:val="24"/>
        </w:rPr>
        <w:t xml:space="preserve">NOTA 5. EFECTIVO Y EQUIVALENTES </w:t>
      </w:r>
      <w:r w:rsidR="00016FB7" w:rsidRPr="00695DFA">
        <w:rPr>
          <w:rFonts w:cs="Times New Roman"/>
          <w:sz w:val="24"/>
          <w:szCs w:val="24"/>
        </w:rPr>
        <w:t>AL</w:t>
      </w:r>
      <w:r w:rsidRPr="00695DFA">
        <w:rPr>
          <w:rFonts w:cs="Times New Roman"/>
          <w:sz w:val="24"/>
          <w:szCs w:val="24"/>
        </w:rPr>
        <w:t xml:space="preserve"> EFECTIVO</w:t>
      </w:r>
      <w:bookmarkEnd w:id="25"/>
      <w:r w:rsidRPr="00695DFA">
        <w:rPr>
          <w:rFonts w:cs="Times New Roman"/>
          <w:sz w:val="24"/>
          <w:szCs w:val="24"/>
        </w:rPr>
        <w:t xml:space="preserve"> </w:t>
      </w:r>
    </w:p>
    <w:p w14:paraId="4EF5B572" w14:textId="77777777" w:rsidR="00114F87" w:rsidRPr="00695DFA" w:rsidRDefault="00114F87" w:rsidP="00AB4D08">
      <w:pPr>
        <w:spacing w:after="0" w:line="240" w:lineRule="auto"/>
        <w:contextualSpacing/>
        <w:jc w:val="both"/>
        <w:rPr>
          <w:rFonts w:ascii="Times New Roman" w:hAnsi="Times New Roman"/>
          <w:b/>
          <w:sz w:val="24"/>
          <w:szCs w:val="24"/>
        </w:rPr>
      </w:pPr>
    </w:p>
    <w:p w14:paraId="433EAD08" w14:textId="5075121F" w:rsidR="00E067B1" w:rsidRPr="00695DFA" w:rsidRDefault="00C8685E" w:rsidP="00AB4D08">
      <w:pPr>
        <w:pStyle w:val="Ttulo2"/>
        <w:numPr>
          <w:ilvl w:val="0"/>
          <w:numId w:val="0"/>
        </w:numPr>
        <w:spacing w:line="240" w:lineRule="auto"/>
        <w:contextualSpacing/>
        <w:rPr>
          <w:rFonts w:cs="Times New Roman"/>
          <w:szCs w:val="24"/>
        </w:rPr>
      </w:pPr>
      <w:bookmarkStart w:id="26" w:name="_Toc32317241"/>
      <w:r w:rsidRPr="00695DFA">
        <w:rPr>
          <w:rFonts w:cs="Times New Roman"/>
          <w:szCs w:val="24"/>
        </w:rPr>
        <w:t>Composición</w:t>
      </w:r>
      <w:bookmarkEnd w:id="26"/>
    </w:p>
    <w:p w14:paraId="5680E4D8" w14:textId="77777777" w:rsidR="00E067B1" w:rsidRPr="00695DFA" w:rsidRDefault="00E067B1" w:rsidP="00AB4D08">
      <w:pPr>
        <w:spacing w:after="0" w:line="240" w:lineRule="auto"/>
        <w:ind w:left="567"/>
        <w:contextualSpacing/>
        <w:jc w:val="both"/>
        <w:rPr>
          <w:rFonts w:ascii="Times New Roman" w:hAnsi="Times New Roman"/>
          <w:b/>
          <w:sz w:val="24"/>
          <w:szCs w:val="24"/>
        </w:rPr>
      </w:pPr>
    </w:p>
    <w:p w14:paraId="0EEE8482" w14:textId="6EB83F60" w:rsidR="001034F8" w:rsidRPr="00802E80" w:rsidRDefault="001034F8" w:rsidP="00AB4D08">
      <w:pPr>
        <w:suppressAutoHyphens/>
        <w:spacing w:line="240" w:lineRule="auto"/>
        <w:ind w:left="567"/>
        <w:contextualSpacing/>
        <w:jc w:val="both"/>
        <w:rPr>
          <w:rFonts w:ascii="Times New Roman" w:hAnsi="Times New Roman"/>
          <w:spacing w:val="-3"/>
          <w:sz w:val="24"/>
          <w:szCs w:val="24"/>
        </w:rPr>
      </w:pPr>
      <w:r w:rsidRPr="00802E80">
        <w:rPr>
          <w:rFonts w:ascii="Times New Roman" w:hAnsi="Times New Roman"/>
          <w:spacing w:val="-3"/>
          <w:sz w:val="24"/>
          <w:szCs w:val="24"/>
        </w:rPr>
        <w:t>Los saldos de las cuentas bancarias se encuentran debidamente conciliados con corte a 31 de diciembre de 2019 y presentan los siguientes saldos:</w:t>
      </w:r>
    </w:p>
    <w:p w14:paraId="6F5E1583" w14:textId="77777777" w:rsidR="001034F8" w:rsidRDefault="001034F8" w:rsidP="00AB4D08">
      <w:pPr>
        <w:suppressAutoHyphens/>
        <w:spacing w:line="240" w:lineRule="auto"/>
        <w:ind w:left="567"/>
        <w:contextualSpacing/>
        <w:jc w:val="both"/>
        <w:rPr>
          <w:rFonts w:ascii="Times New Roman" w:hAnsi="Times New Roman"/>
          <w:spacing w:val="-3"/>
          <w:sz w:val="24"/>
          <w:szCs w:val="24"/>
        </w:rPr>
      </w:pPr>
    </w:p>
    <w:p w14:paraId="604DE04E" w14:textId="5AD64A90" w:rsidR="00DE5E64" w:rsidRDefault="00DE5E64" w:rsidP="00AB4D08">
      <w:pPr>
        <w:spacing w:after="0" w:line="240" w:lineRule="auto"/>
        <w:ind w:left="360"/>
        <w:contextualSpacing/>
        <w:jc w:val="both"/>
        <w:rPr>
          <w:rFonts w:ascii="Times New Roman" w:hAnsi="Times New Roman"/>
          <w:sz w:val="24"/>
          <w:szCs w:val="24"/>
        </w:rPr>
      </w:pPr>
      <w:r>
        <w:rPr>
          <w:noProof/>
          <w:lang w:eastAsia="es-CO"/>
        </w:rPr>
        <w:drawing>
          <wp:inline distT="0" distB="0" distL="0" distR="0" wp14:anchorId="69F7692D" wp14:editId="538ACEA5">
            <wp:extent cx="5410200" cy="1333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1333500"/>
                    </a:xfrm>
                    <a:prstGeom prst="rect">
                      <a:avLst/>
                    </a:prstGeom>
                  </pic:spPr>
                </pic:pic>
              </a:graphicData>
            </a:graphic>
          </wp:inline>
        </w:drawing>
      </w:r>
    </w:p>
    <w:p w14:paraId="26A2F3D8" w14:textId="77777777" w:rsidR="00DE5E64" w:rsidRDefault="00DE5E64" w:rsidP="00AB4D08">
      <w:pPr>
        <w:spacing w:after="0" w:line="240" w:lineRule="auto"/>
        <w:ind w:left="360"/>
        <w:contextualSpacing/>
        <w:jc w:val="both"/>
        <w:rPr>
          <w:rFonts w:ascii="Times New Roman" w:hAnsi="Times New Roman"/>
          <w:sz w:val="24"/>
          <w:szCs w:val="24"/>
        </w:rPr>
      </w:pPr>
    </w:p>
    <w:p w14:paraId="54BFDC66" w14:textId="77777777" w:rsidR="00D040AB" w:rsidRPr="00695DFA" w:rsidRDefault="00D040AB" w:rsidP="00AB4D08">
      <w:pPr>
        <w:spacing w:after="0" w:line="240" w:lineRule="auto"/>
        <w:ind w:left="360"/>
        <w:contextualSpacing/>
        <w:jc w:val="both"/>
        <w:rPr>
          <w:rFonts w:ascii="Times New Roman" w:hAnsi="Times New Roman"/>
          <w:sz w:val="24"/>
          <w:szCs w:val="24"/>
        </w:rPr>
      </w:pPr>
    </w:p>
    <w:p w14:paraId="470DE128" w14:textId="77777777" w:rsidR="00FE4FD5" w:rsidRPr="00695DFA" w:rsidRDefault="00FE4FD5" w:rsidP="00AB4D08">
      <w:pPr>
        <w:pStyle w:val="Ttulo2"/>
        <w:numPr>
          <w:ilvl w:val="1"/>
          <w:numId w:val="23"/>
        </w:numPr>
        <w:spacing w:line="240" w:lineRule="auto"/>
        <w:ind w:left="567" w:hanging="567"/>
        <w:contextualSpacing/>
        <w:rPr>
          <w:rFonts w:cs="Times New Roman"/>
          <w:szCs w:val="24"/>
        </w:rPr>
      </w:pPr>
      <w:bookmarkStart w:id="27" w:name="_Toc32317242"/>
      <w:r w:rsidRPr="00695DFA">
        <w:rPr>
          <w:rFonts w:cs="Times New Roman"/>
          <w:szCs w:val="24"/>
        </w:rPr>
        <w:lastRenderedPageBreak/>
        <w:t>Depósitos en instituciones financieras</w:t>
      </w:r>
      <w:bookmarkEnd w:id="27"/>
    </w:p>
    <w:p w14:paraId="7A839119" w14:textId="77777777" w:rsidR="00FE4FD5" w:rsidRDefault="00FE4FD5" w:rsidP="00AB4D08">
      <w:pPr>
        <w:tabs>
          <w:tab w:val="left" w:pos="6315"/>
        </w:tabs>
        <w:spacing w:line="240" w:lineRule="auto"/>
        <w:ind w:left="567"/>
        <w:contextualSpacing/>
        <w:jc w:val="both"/>
        <w:rPr>
          <w:rFonts w:ascii="Times New Roman" w:hAnsi="Times New Roman"/>
          <w:sz w:val="24"/>
          <w:szCs w:val="24"/>
        </w:rPr>
      </w:pPr>
    </w:p>
    <w:p w14:paraId="2F34FEB7" w14:textId="2E0C1198" w:rsidR="00C068AE" w:rsidRPr="00802E80" w:rsidRDefault="00C068AE" w:rsidP="00AB4D08">
      <w:pPr>
        <w:tabs>
          <w:tab w:val="left" w:pos="6315"/>
        </w:tabs>
        <w:spacing w:line="240" w:lineRule="auto"/>
        <w:ind w:left="567"/>
        <w:contextualSpacing/>
        <w:jc w:val="both"/>
        <w:rPr>
          <w:rFonts w:ascii="Times New Roman" w:hAnsi="Times New Roman"/>
          <w:sz w:val="24"/>
          <w:szCs w:val="24"/>
        </w:rPr>
      </w:pPr>
      <w:r w:rsidRPr="00802E80">
        <w:rPr>
          <w:rFonts w:ascii="Times New Roman" w:hAnsi="Times New Roman"/>
          <w:sz w:val="24"/>
          <w:szCs w:val="24"/>
        </w:rPr>
        <w:t xml:space="preserve">Con corte a 31 de diciembre de 2019, se evidencia un incremento en los saldos de las cuentas bancarias de $317.254.248.939, lo anterior </w:t>
      </w:r>
      <w:r w:rsidR="00802E80" w:rsidRPr="00802E80">
        <w:rPr>
          <w:rFonts w:ascii="Times New Roman" w:hAnsi="Times New Roman"/>
          <w:sz w:val="24"/>
          <w:szCs w:val="24"/>
        </w:rPr>
        <w:t xml:space="preserve">principalmente </w:t>
      </w:r>
      <w:r w:rsidRPr="00802E80">
        <w:rPr>
          <w:rFonts w:ascii="Times New Roman" w:hAnsi="Times New Roman"/>
          <w:sz w:val="24"/>
          <w:szCs w:val="24"/>
        </w:rPr>
        <w:t>en razón al recaudo del acuerdo de valorización 724 de 2018.</w:t>
      </w:r>
    </w:p>
    <w:p w14:paraId="44F4647E" w14:textId="77777777" w:rsidR="00C068AE" w:rsidRDefault="00C068AE" w:rsidP="00AB4D08">
      <w:pPr>
        <w:tabs>
          <w:tab w:val="left" w:pos="6315"/>
        </w:tabs>
        <w:spacing w:line="240" w:lineRule="auto"/>
        <w:ind w:left="567"/>
        <w:contextualSpacing/>
        <w:jc w:val="both"/>
        <w:rPr>
          <w:rFonts w:ascii="Times New Roman" w:hAnsi="Times New Roman"/>
          <w:color w:val="FF0000"/>
          <w:sz w:val="24"/>
          <w:szCs w:val="24"/>
        </w:rPr>
      </w:pPr>
    </w:p>
    <w:p w14:paraId="33C44AA8" w14:textId="77777777" w:rsidR="00695DFA" w:rsidRDefault="00695DFA" w:rsidP="00AB4D08">
      <w:pPr>
        <w:suppressAutoHyphens/>
        <w:spacing w:line="240" w:lineRule="auto"/>
        <w:ind w:left="567"/>
        <w:contextualSpacing/>
        <w:jc w:val="both"/>
        <w:rPr>
          <w:rFonts w:ascii="Times New Roman" w:hAnsi="Times New Roman"/>
          <w:spacing w:val="-3"/>
          <w:sz w:val="24"/>
          <w:szCs w:val="24"/>
        </w:rPr>
      </w:pPr>
      <w:r w:rsidRPr="00695DFA">
        <w:rPr>
          <w:rFonts w:ascii="Times New Roman" w:hAnsi="Times New Roman"/>
          <w:spacing w:val="-3"/>
          <w:sz w:val="24"/>
          <w:szCs w:val="24"/>
        </w:rPr>
        <w:t>A continuación, se describe cada una de las cuentas bancarias de ahorro, las cuales se encuentran activas en su totalidad, y se discriminan de la siguiente forma:</w:t>
      </w:r>
    </w:p>
    <w:p w14:paraId="0F266DFB" w14:textId="77777777" w:rsidR="00DE5E64" w:rsidRDefault="00DE5E64" w:rsidP="00AB4D08">
      <w:pPr>
        <w:suppressAutoHyphens/>
        <w:spacing w:line="240" w:lineRule="auto"/>
        <w:ind w:left="567"/>
        <w:contextualSpacing/>
        <w:jc w:val="both"/>
        <w:rPr>
          <w:rFonts w:ascii="Times New Roman" w:hAnsi="Times New Roman"/>
          <w:spacing w:val="-3"/>
          <w:sz w:val="24"/>
          <w:szCs w:val="24"/>
        </w:rPr>
      </w:pPr>
    </w:p>
    <w:p w14:paraId="5055E816" w14:textId="7DF1FE48" w:rsidR="00DE5E64" w:rsidRDefault="00DE5E64" w:rsidP="00AB4D08">
      <w:pPr>
        <w:suppressAutoHyphens/>
        <w:spacing w:line="240" w:lineRule="auto"/>
        <w:ind w:left="567"/>
        <w:contextualSpacing/>
        <w:jc w:val="both"/>
        <w:rPr>
          <w:rFonts w:ascii="Times New Roman" w:hAnsi="Times New Roman"/>
          <w:spacing w:val="-3"/>
          <w:sz w:val="24"/>
          <w:szCs w:val="24"/>
        </w:rPr>
      </w:pPr>
      <w:r w:rsidRPr="00DE5E64">
        <w:rPr>
          <w:noProof/>
          <w:lang w:eastAsia="es-CO"/>
        </w:rPr>
        <w:drawing>
          <wp:inline distT="0" distB="0" distL="0" distR="0" wp14:anchorId="0B26EA84" wp14:editId="22FBB496">
            <wp:extent cx="5486400" cy="4944303"/>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0089" cy="4974663"/>
                    </a:xfrm>
                    <a:prstGeom prst="rect">
                      <a:avLst/>
                    </a:prstGeom>
                    <a:noFill/>
                    <a:ln>
                      <a:noFill/>
                    </a:ln>
                  </pic:spPr>
                </pic:pic>
              </a:graphicData>
            </a:graphic>
          </wp:inline>
        </w:drawing>
      </w:r>
    </w:p>
    <w:p w14:paraId="3CFA8AEA" w14:textId="77777777" w:rsidR="00D040AB" w:rsidRDefault="00D040AB" w:rsidP="00AB4D08">
      <w:pPr>
        <w:suppressAutoHyphens/>
        <w:spacing w:line="240" w:lineRule="auto"/>
        <w:ind w:left="567"/>
        <w:contextualSpacing/>
        <w:jc w:val="both"/>
        <w:rPr>
          <w:rFonts w:ascii="Times New Roman" w:hAnsi="Times New Roman"/>
          <w:spacing w:val="-3"/>
          <w:sz w:val="24"/>
          <w:szCs w:val="24"/>
        </w:rPr>
      </w:pPr>
    </w:p>
    <w:p w14:paraId="7F7D7D91"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0C470FA7"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1D302368"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5ACB06ED"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39D58A24"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50214AF6" w14:textId="77777777" w:rsidR="00EC63D5" w:rsidRDefault="00EC63D5" w:rsidP="00AB4D08">
      <w:pPr>
        <w:suppressAutoHyphens/>
        <w:spacing w:line="240" w:lineRule="auto"/>
        <w:ind w:left="567"/>
        <w:contextualSpacing/>
        <w:jc w:val="both"/>
        <w:rPr>
          <w:rFonts w:ascii="Times New Roman" w:hAnsi="Times New Roman"/>
          <w:spacing w:val="-3"/>
          <w:sz w:val="24"/>
          <w:szCs w:val="24"/>
        </w:rPr>
      </w:pPr>
    </w:p>
    <w:p w14:paraId="6EF80032" w14:textId="77777777" w:rsidR="008B67F7" w:rsidRPr="005B2B7D" w:rsidRDefault="008B67F7" w:rsidP="00AB4D08">
      <w:pPr>
        <w:suppressAutoHyphens/>
        <w:spacing w:line="240" w:lineRule="auto"/>
        <w:ind w:left="567"/>
        <w:contextualSpacing/>
        <w:jc w:val="both"/>
        <w:rPr>
          <w:rFonts w:ascii="Times New Roman" w:hAnsi="Times New Roman"/>
          <w:spacing w:val="-3"/>
          <w:sz w:val="24"/>
          <w:szCs w:val="24"/>
        </w:rPr>
      </w:pPr>
      <w:r w:rsidRPr="005B2B7D">
        <w:rPr>
          <w:rFonts w:ascii="Times New Roman" w:hAnsi="Times New Roman"/>
          <w:spacing w:val="-3"/>
          <w:sz w:val="24"/>
          <w:szCs w:val="24"/>
        </w:rPr>
        <w:lastRenderedPageBreak/>
        <w:t>Las cuentas corrientes del Instituto se discriminan de la siguiente forma, y se encuentran activas en su totalidad:</w:t>
      </w:r>
    </w:p>
    <w:p w14:paraId="62822961" w14:textId="77777777" w:rsidR="008B67F7" w:rsidRDefault="008B67F7" w:rsidP="00AB4D08">
      <w:pPr>
        <w:spacing w:after="0" w:line="240" w:lineRule="auto"/>
        <w:ind w:firstLine="360"/>
        <w:contextualSpacing/>
        <w:jc w:val="both"/>
        <w:rPr>
          <w:rFonts w:ascii="Times New Roman" w:hAnsi="Times New Roman"/>
          <w:sz w:val="24"/>
          <w:szCs w:val="24"/>
        </w:rPr>
      </w:pPr>
    </w:p>
    <w:p w14:paraId="367A63CD" w14:textId="5932959F" w:rsidR="008B67F7" w:rsidRDefault="00DE5E64" w:rsidP="00AB4D08">
      <w:pPr>
        <w:spacing w:after="0" w:line="240" w:lineRule="auto"/>
        <w:ind w:firstLine="360"/>
        <w:contextualSpacing/>
        <w:jc w:val="center"/>
        <w:rPr>
          <w:rFonts w:ascii="Times New Roman" w:hAnsi="Times New Roman"/>
          <w:sz w:val="24"/>
          <w:szCs w:val="24"/>
        </w:rPr>
      </w:pPr>
      <w:r w:rsidRPr="00DE5E64">
        <w:rPr>
          <w:noProof/>
          <w:lang w:eastAsia="es-CO"/>
        </w:rPr>
        <w:drawing>
          <wp:inline distT="0" distB="0" distL="0" distR="0" wp14:anchorId="6F49EAFD" wp14:editId="4956858E">
            <wp:extent cx="5676900" cy="323979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740" cy="3241419"/>
                    </a:xfrm>
                    <a:prstGeom prst="rect">
                      <a:avLst/>
                    </a:prstGeom>
                    <a:noFill/>
                    <a:ln>
                      <a:noFill/>
                    </a:ln>
                  </pic:spPr>
                </pic:pic>
              </a:graphicData>
            </a:graphic>
          </wp:inline>
        </w:drawing>
      </w:r>
    </w:p>
    <w:p w14:paraId="10538917" w14:textId="04A2E070" w:rsidR="008B67F7" w:rsidRDefault="008B67F7" w:rsidP="00AB4D08">
      <w:pPr>
        <w:spacing w:after="0" w:line="240" w:lineRule="auto"/>
        <w:ind w:firstLine="360"/>
        <w:contextualSpacing/>
        <w:jc w:val="center"/>
        <w:rPr>
          <w:rFonts w:ascii="Times New Roman" w:hAnsi="Times New Roman"/>
          <w:sz w:val="24"/>
          <w:szCs w:val="24"/>
        </w:rPr>
      </w:pPr>
    </w:p>
    <w:p w14:paraId="74F86C7D" w14:textId="77777777" w:rsidR="00FE4FD5" w:rsidRPr="00695DFA" w:rsidRDefault="00FE4FD5" w:rsidP="00AB4D08">
      <w:pPr>
        <w:pStyle w:val="Ttulo2"/>
        <w:numPr>
          <w:ilvl w:val="1"/>
          <w:numId w:val="23"/>
        </w:numPr>
        <w:spacing w:line="240" w:lineRule="auto"/>
        <w:ind w:left="567" w:hanging="567"/>
        <w:contextualSpacing/>
        <w:rPr>
          <w:rFonts w:cs="Times New Roman"/>
          <w:szCs w:val="24"/>
        </w:rPr>
      </w:pPr>
      <w:bookmarkStart w:id="28" w:name="_Toc32317243"/>
      <w:r w:rsidRPr="00695DFA">
        <w:rPr>
          <w:rFonts w:cs="Times New Roman"/>
          <w:szCs w:val="24"/>
        </w:rPr>
        <w:t>Efectivo de uso restringido</w:t>
      </w:r>
      <w:bookmarkEnd w:id="28"/>
    </w:p>
    <w:p w14:paraId="4EB0F01D" w14:textId="77777777" w:rsidR="00FE4FD5" w:rsidRDefault="00FE4FD5" w:rsidP="00AB4D08">
      <w:pPr>
        <w:tabs>
          <w:tab w:val="left" w:pos="6315"/>
        </w:tabs>
        <w:spacing w:line="240" w:lineRule="auto"/>
        <w:ind w:left="567"/>
        <w:contextualSpacing/>
        <w:jc w:val="both"/>
        <w:rPr>
          <w:rFonts w:ascii="Times New Roman" w:hAnsi="Times New Roman"/>
          <w:sz w:val="24"/>
          <w:szCs w:val="24"/>
        </w:rPr>
      </w:pPr>
    </w:p>
    <w:p w14:paraId="60DE6141" w14:textId="67E986FE" w:rsidR="009D7CF2" w:rsidRDefault="009D7CF2" w:rsidP="00AB4D08">
      <w:pPr>
        <w:tabs>
          <w:tab w:val="left" w:pos="6315"/>
        </w:tabs>
        <w:spacing w:line="240" w:lineRule="auto"/>
        <w:ind w:left="567"/>
        <w:contextualSpacing/>
        <w:jc w:val="both"/>
        <w:rPr>
          <w:rFonts w:ascii="Times New Roman" w:hAnsi="Times New Roman"/>
          <w:sz w:val="24"/>
          <w:szCs w:val="24"/>
        </w:rPr>
      </w:pPr>
      <w:r w:rsidRPr="009D7CF2">
        <w:rPr>
          <w:rFonts w:ascii="Times New Roman" w:hAnsi="Times New Roman"/>
          <w:sz w:val="24"/>
          <w:szCs w:val="24"/>
        </w:rPr>
        <w:t>El Juzgado Tercero Civil del Circuito de Bogotá D.C., mediante providencia calendada veinte (20) de septiembre de dos mil diecinueve (2019)</w:t>
      </w:r>
      <w:r w:rsidR="00D040AB">
        <w:rPr>
          <w:rFonts w:ascii="Times New Roman" w:hAnsi="Times New Roman"/>
          <w:sz w:val="24"/>
          <w:szCs w:val="24"/>
        </w:rPr>
        <w:t>,</w:t>
      </w:r>
      <w:r w:rsidRPr="009D7CF2">
        <w:rPr>
          <w:rFonts w:ascii="Times New Roman" w:hAnsi="Times New Roman"/>
          <w:sz w:val="24"/>
          <w:szCs w:val="24"/>
        </w:rPr>
        <w:t xml:space="preserve"> en el proceso 110013103007 200800675 00, interpuesto por </w:t>
      </w:r>
      <w:proofErr w:type="spellStart"/>
      <w:r w:rsidRPr="009D7CF2">
        <w:rPr>
          <w:rFonts w:ascii="Times New Roman" w:hAnsi="Times New Roman"/>
          <w:sz w:val="24"/>
          <w:szCs w:val="24"/>
        </w:rPr>
        <w:t>Ardavil</w:t>
      </w:r>
      <w:proofErr w:type="spellEnd"/>
      <w:r w:rsidRPr="009D7CF2">
        <w:rPr>
          <w:rFonts w:ascii="Times New Roman" w:hAnsi="Times New Roman"/>
          <w:sz w:val="24"/>
          <w:szCs w:val="24"/>
        </w:rPr>
        <w:t xml:space="preserve"> Inversionistas y Comerciantes Asociados LTDA, decretó el embargo y retención de $78.450.000, dineros que fueron puesto</w:t>
      </w:r>
      <w:r w:rsidR="00D040AB">
        <w:rPr>
          <w:rFonts w:ascii="Times New Roman" w:hAnsi="Times New Roman"/>
          <w:sz w:val="24"/>
          <w:szCs w:val="24"/>
        </w:rPr>
        <w:t>s</w:t>
      </w:r>
      <w:r w:rsidRPr="009D7CF2">
        <w:rPr>
          <w:rFonts w:ascii="Times New Roman" w:hAnsi="Times New Roman"/>
          <w:sz w:val="24"/>
          <w:szCs w:val="24"/>
        </w:rPr>
        <w:t xml:space="preserve"> a disposición de ese juzgado en la cuenta del Banco Agrario de Colombia No. 110012031047.</w:t>
      </w:r>
    </w:p>
    <w:p w14:paraId="0CB2E525" w14:textId="77777777" w:rsidR="00D25C99" w:rsidRDefault="00D25C99" w:rsidP="00AB4D08">
      <w:pPr>
        <w:tabs>
          <w:tab w:val="left" w:pos="6315"/>
        </w:tabs>
        <w:spacing w:line="240" w:lineRule="auto"/>
        <w:ind w:left="567"/>
        <w:contextualSpacing/>
        <w:jc w:val="both"/>
        <w:rPr>
          <w:rFonts w:ascii="Times New Roman" w:hAnsi="Times New Roman"/>
          <w:sz w:val="24"/>
          <w:szCs w:val="24"/>
        </w:rPr>
      </w:pPr>
    </w:p>
    <w:p w14:paraId="04ECA89A"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060CC5C2"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330B6497"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571EC8C6"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53093E8D"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24B19345"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4B6B950F"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794235DD"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7C19622E"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2845AEF0" w14:textId="77777777" w:rsidR="00EC63D5" w:rsidRDefault="00EC63D5" w:rsidP="00AB4D08">
      <w:pPr>
        <w:tabs>
          <w:tab w:val="left" w:pos="6315"/>
        </w:tabs>
        <w:spacing w:line="240" w:lineRule="auto"/>
        <w:ind w:left="567"/>
        <w:contextualSpacing/>
        <w:jc w:val="both"/>
        <w:rPr>
          <w:rFonts w:ascii="Times New Roman" w:hAnsi="Times New Roman"/>
          <w:sz w:val="24"/>
          <w:szCs w:val="24"/>
        </w:rPr>
      </w:pPr>
    </w:p>
    <w:p w14:paraId="7E5C7C6F" w14:textId="77777777" w:rsidR="00EC63D5" w:rsidRDefault="00EC63D5" w:rsidP="00AB4D08">
      <w:pPr>
        <w:tabs>
          <w:tab w:val="left" w:pos="6315"/>
        </w:tabs>
        <w:spacing w:line="240" w:lineRule="auto"/>
        <w:ind w:left="567"/>
        <w:contextualSpacing/>
        <w:jc w:val="both"/>
        <w:rPr>
          <w:rFonts w:ascii="Times New Roman" w:hAnsi="Times New Roman"/>
          <w:sz w:val="24"/>
          <w:szCs w:val="24"/>
        </w:rPr>
      </w:pPr>
    </w:p>
    <w:p w14:paraId="74D88B80"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326C9307"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0A51522E" w14:textId="77777777" w:rsidR="00D040AB" w:rsidRDefault="00D040AB" w:rsidP="00AB4D08">
      <w:pPr>
        <w:tabs>
          <w:tab w:val="left" w:pos="6315"/>
        </w:tabs>
        <w:spacing w:line="240" w:lineRule="auto"/>
        <w:ind w:left="567"/>
        <w:contextualSpacing/>
        <w:jc w:val="both"/>
        <w:rPr>
          <w:rFonts w:ascii="Times New Roman" w:hAnsi="Times New Roman"/>
          <w:sz w:val="24"/>
          <w:szCs w:val="24"/>
        </w:rPr>
      </w:pPr>
    </w:p>
    <w:p w14:paraId="49EAB38F" w14:textId="77777777" w:rsidR="008B67F7" w:rsidRDefault="008B67F7" w:rsidP="00AB4D08">
      <w:pPr>
        <w:tabs>
          <w:tab w:val="left" w:pos="6315"/>
        </w:tabs>
        <w:spacing w:line="240" w:lineRule="auto"/>
        <w:ind w:left="567"/>
        <w:contextualSpacing/>
        <w:jc w:val="both"/>
        <w:rPr>
          <w:rFonts w:ascii="Times New Roman" w:hAnsi="Times New Roman"/>
          <w:sz w:val="24"/>
          <w:szCs w:val="24"/>
        </w:rPr>
      </w:pPr>
      <w:r w:rsidRPr="005B2B7D">
        <w:rPr>
          <w:rFonts w:ascii="Times New Roman" w:hAnsi="Times New Roman"/>
          <w:sz w:val="24"/>
          <w:szCs w:val="24"/>
        </w:rPr>
        <w:lastRenderedPageBreak/>
        <w:t>Con corte a diciembre 31 de 2019, se evidencian partidas conciliatorias como se describe a continuación:</w:t>
      </w:r>
    </w:p>
    <w:p w14:paraId="510990FA" w14:textId="77777777" w:rsidR="00D040AB" w:rsidRPr="005B2B7D" w:rsidRDefault="00D040AB" w:rsidP="00AB4D08">
      <w:pPr>
        <w:tabs>
          <w:tab w:val="left" w:pos="6315"/>
        </w:tabs>
        <w:spacing w:line="240" w:lineRule="auto"/>
        <w:ind w:left="567"/>
        <w:contextualSpacing/>
        <w:jc w:val="both"/>
        <w:rPr>
          <w:rFonts w:ascii="Times New Roman" w:hAnsi="Times New Roman"/>
          <w:sz w:val="24"/>
          <w:szCs w:val="24"/>
        </w:rPr>
      </w:pPr>
    </w:p>
    <w:p w14:paraId="4F138182" w14:textId="6B75DEFF" w:rsidR="00695DFA" w:rsidRDefault="00D83B2B" w:rsidP="00AB4D08">
      <w:pPr>
        <w:spacing w:after="0" w:line="240" w:lineRule="auto"/>
        <w:ind w:firstLine="360"/>
        <w:contextualSpacing/>
        <w:jc w:val="both"/>
        <w:rPr>
          <w:rFonts w:ascii="Times New Roman" w:hAnsi="Times New Roman"/>
          <w:noProof/>
          <w:sz w:val="24"/>
          <w:szCs w:val="24"/>
          <w:lang w:eastAsia="es-CO"/>
        </w:rPr>
      </w:pPr>
      <w:r w:rsidRPr="00D83B2B">
        <w:rPr>
          <w:noProof/>
          <w:lang w:eastAsia="es-CO"/>
        </w:rPr>
        <w:drawing>
          <wp:inline distT="0" distB="0" distL="0" distR="0" wp14:anchorId="1C3910B8" wp14:editId="6D21B8A5">
            <wp:extent cx="5698681" cy="4086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26" cy="4091062"/>
                    </a:xfrm>
                    <a:prstGeom prst="rect">
                      <a:avLst/>
                    </a:prstGeom>
                    <a:noFill/>
                    <a:ln>
                      <a:noFill/>
                    </a:ln>
                  </pic:spPr>
                </pic:pic>
              </a:graphicData>
            </a:graphic>
          </wp:inline>
        </w:drawing>
      </w:r>
    </w:p>
    <w:p w14:paraId="7D3050E6" w14:textId="77777777" w:rsidR="00695DFA" w:rsidRDefault="00695DFA" w:rsidP="00AB4D08">
      <w:pPr>
        <w:spacing w:after="0" w:line="240" w:lineRule="auto"/>
        <w:ind w:firstLine="360"/>
        <w:contextualSpacing/>
        <w:jc w:val="both"/>
        <w:rPr>
          <w:rFonts w:ascii="Times New Roman" w:hAnsi="Times New Roman"/>
          <w:noProof/>
          <w:sz w:val="24"/>
          <w:szCs w:val="24"/>
          <w:lang w:eastAsia="es-CO"/>
        </w:rPr>
      </w:pPr>
    </w:p>
    <w:p w14:paraId="388775E3" w14:textId="33578D74" w:rsidR="0022479D" w:rsidRPr="0022479D" w:rsidRDefault="0022479D" w:rsidP="00AB4D08">
      <w:pPr>
        <w:spacing w:after="0" w:line="240" w:lineRule="auto"/>
        <w:ind w:left="567"/>
        <w:contextualSpacing/>
        <w:jc w:val="both"/>
        <w:rPr>
          <w:rFonts w:ascii="Times New Roman" w:hAnsi="Times New Roman"/>
          <w:sz w:val="24"/>
          <w:szCs w:val="24"/>
        </w:rPr>
      </w:pPr>
      <w:r w:rsidRPr="0022479D">
        <w:rPr>
          <w:rFonts w:ascii="Times New Roman" w:hAnsi="Times New Roman"/>
          <w:sz w:val="24"/>
          <w:szCs w:val="24"/>
        </w:rPr>
        <w:t xml:space="preserve">Las partidas conciliatorias con corte a </w:t>
      </w:r>
      <w:r>
        <w:rPr>
          <w:rFonts w:ascii="Times New Roman" w:hAnsi="Times New Roman"/>
          <w:sz w:val="24"/>
          <w:szCs w:val="24"/>
        </w:rPr>
        <w:t xml:space="preserve">31 de </w:t>
      </w:r>
      <w:r w:rsidRPr="0022479D">
        <w:rPr>
          <w:rFonts w:ascii="Times New Roman" w:hAnsi="Times New Roman"/>
          <w:sz w:val="24"/>
          <w:szCs w:val="24"/>
        </w:rPr>
        <w:t>diciembre de 201</w:t>
      </w:r>
      <w:r>
        <w:rPr>
          <w:rFonts w:ascii="Times New Roman" w:hAnsi="Times New Roman"/>
          <w:sz w:val="24"/>
          <w:szCs w:val="24"/>
        </w:rPr>
        <w:t>9</w:t>
      </w:r>
      <w:r w:rsidRPr="0022479D">
        <w:rPr>
          <w:rFonts w:ascii="Times New Roman" w:hAnsi="Times New Roman"/>
          <w:sz w:val="24"/>
          <w:szCs w:val="24"/>
        </w:rPr>
        <w:t xml:space="preserve">, corresponden </w:t>
      </w:r>
      <w:r>
        <w:rPr>
          <w:rFonts w:ascii="Times New Roman" w:hAnsi="Times New Roman"/>
          <w:sz w:val="24"/>
          <w:szCs w:val="24"/>
        </w:rPr>
        <w:t xml:space="preserve">principalmente a recaudos del acuerdo de valorización AC 724, </w:t>
      </w:r>
      <w:r w:rsidRPr="0022479D">
        <w:rPr>
          <w:rFonts w:ascii="Times New Roman" w:hAnsi="Times New Roman"/>
          <w:sz w:val="24"/>
          <w:szCs w:val="24"/>
        </w:rPr>
        <w:t>estos saldos están debidamente identificados y la antigüedad es inferior a 30 días, los valores quedan registrados y conciliados contablemente en el mes inmediatamente siguiente.</w:t>
      </w:r>
    </w:p>
    <w:p w14:paraId="28F77670" w14:textId="77777777" w:rsidR="0022479D" w:rsidRDefault="0022479D" w:rsidP="00AB4D08">
      <w:pPr>
        <w:spacing w:after="0" w:line="240" w:lineRule="auto"/>
        <w:ind w:left="567"/>
        <w:contextualSpacing/>
        <w:jc w:val="both"/>
        <w:rPr>
          <w:rFonts w:ascii="Times New Roman" w:hAnsi="Times New Roman"/>
          <w:sz w:val="24"/>
          <w:szCs w:val="24"/>
        </w:rPr>
      </w:pPr>
    </w:p>
    <w:p w14:paraId="3FC25F14" w14:textId="77777777" w:rsidR="0022479D" w:rsidRPr="00695DFA" w:rsidRDefault="0022479D" w:rsidP="00AB4D08">
      <w:pPr>
        <w:spacing w:after="0" w:line="240" w:lineRule="auto"/>
        <w:ind w:left="567"/>
        <w:contextualSpacing/>
        <w:jc w:val="both"/>
        <w:rPr>
          <w:rFonts w:ascii="Times New Roman" w:hAnsi="Times New Roman"/>
          <w:sz w:val="24"/>
          <w:szCs w:val="24"/>
        </w:rPr>
      </w:pPr>
    </w:p>
    <w:p w14:paraId="1A789F71" w14:textId="77777777" w:rsidR="00247133" w:rsidRDefault="00247133" w:rsidP="00AB4D08">
      <w:pPr>
        <w:spacing w:after="0" w:line="240" w:lineRule="auto"/>
        <w:ind w:left="720"/>
        <w:contextualSpacing/>
        <w:jc w:val="both"/>
        <w:rPr>
          <w:rFonts w:ascii="Times New Roman" w:hAnsi="Times New Roman"/>
          <w:sz w:val="24"/>
          <w:szCs w:val="24"/>
        </w:rPr>
      </w:pPr>
    </w:p>
    <w:p w14:paraId="2271AE34" w14:textId="77777777" w:rsidR="004269BE" w:rsidRDefault="004269BE" w:rsidP="00AB4D08">
      <w:pPr>
        <w:spacing w:after="0" w:line="240" w:lineRule="auto"/>
        <w:ind w:left="720"/>
        <w:contextualSpacing/>
        <w:jc w:val="both"/>
        <w:rPr>
          <w:rFonts w:ascii="Times New Roman" w:hAnsi="Times New Roman"/>
          <w:sz w:val="24"/>
          <w:szCs w:val="24"/>
        </w:rPr>
      </w:pPr>
    </w:p>
    <w:p w14:paraId="7E34CAEB" w14:textId="77777777" w:rsidR="004269BE" w:rsidRDefault="004269BE" w:rsidP="00AB4D08">
      <w:pPr>
        <w:spacing w:after="0" w:line="240" w:lineRule="auto"/>
        <w:ind w:left="720"/>
        <w:contextualSpacing/>
        <w:jc w:val="both"/>
        <w:rPr>
          <w:rFonts w:ascii="Times New Roman" w:hAnsi="Times New Roman"/>
          <w:sz w:val="24"/>
          <w:szCs w:val="24"/>
        </w:rPr>
      </w:pPr>
    </w:p>
    <w:p w14:paraId="4A5984E5" w14:textId="77777777" w:rsidR="004269BE" w:rsidRDefault="004269BE" w:rsidP="00AB4D08">
      <w:pPr>
        <w:spacing w:after="0" w:line="240" w:lineRule="auto"/>
        <w:ind w:left="720"/>
        <w:contextualSpacing/>
        <w:jc w:val="both"/>
        <w:rPr>
          <w:rFonts w:ascii="Times New Roman" w:hAnsi="Times New Roman"/>
          <w:sz w:val="24"/>
          <w:szCs w:val="24"/>
        </w:rPr>
      </w:pPr>
    </w:p>
    <w:p w14:paraId="674C11D7" w14:textId="77777777" w:rsidR="004269BE" w:rsidRDefault="004269BE" w:rsidP="00AB4D08">
      <w:pPr>
        <w:spacing w:after="0" w:line="240" w:lineRule="auto"/>
        <w:ind w:left="720"/>
        <w:contextualSpacing/>
        <w:jc w:val="both"/>
        <w:rPr>
          <w:rFonts w:ascii="Times New Roman" w:hAnsi="Times New Roman"/>
          <w:sz w:val="24"/>
          <w:szCs w:val="24"/>
        </w:rPr>
      </w:pPr>
    </w:p>
    <w:p w14:paraId="6C555E56" w14:textId="77777777" w:rsidR="004269BE" w:rsidRDefault="004269BE" w:rsidP="00AB4D08">
      <w:pPr>
        <w:spacing w:after="0" w:line="240" w:lineRule="auto"/>
        <w:ind w:left="720"/>
        <w:contextualSpacing/>
        <w:jc w:val="both"/>
        <w:rPr>
          <w:rFonts w:ascii="Times New Roman" w:hAnsi="Times New Roman"/>
          <w:sz w:val="24"/>
          <w:szCs w:val="24"/>
        </w:rPr>
      </w:pPr>
    </w:p>
    <w:p w14:paraId="22110567" w14:textId="77777777" w:rsidR="004269BE" w:rsidRDefault="004269BE" w:rsidP="00AB4D08">
      <w:pPr>
        <w:spacing w:after="0" w:line="240" w:lineRule="auto"/>
        <w:ind w:left="720"/>
        <w:contextualSpacing/>
        <w:jc w:val="both"/>
        <w:rPr>
          <w:rFonts w:ascii="Times New Roman" w:hAnsi="Times New Roman"/>
          <w:sz w:val="24"/>
          <w:szCs w:val="24"/>
        </w:rPr>
      </w:pPr>
    </w:p>
    <w:p w14:paraId="0208F326" w14:textId="77777777" w:rsidR="004269BE" w:rsidRDefault="004269BE" w:rsidP="00AB4D08">
      <w:pPr>
        <w:spacing w:after="0" w:line="240" w:lineRule="auto"/>
        <w:ind w:left="720"/>
        <w:contextualSpacing/>
        <w:jc w:val="both"/>
        <w:rPr>
          <w:rFonts w:ascii="Times New Roman" w:hAnsi="Times New Roman"/>
          <w:sz w:val="24"/>
          <w:szCs w:val="24"/>
        </w:rPr>
      </w:pPr>
    </w:p>
    <w:p w14:paraId="2C64AB28" w14:textId="77777777" w:rsidR="004269BE" w:rsidRDefault="004269BE" w:rsidP="00AB4D08">
      <w:pPr>
        <w:spacing w:after="0" w:line="240" w:lineRule="auto"/>
        <w:ind w:left="720"/>
        <w:contextualSpacing/>
        <w:jc w:val="both"/>
        <w:rPr>
          <w:rFonts w:ascii="Times New Roman" w:hAnsi="Times New Roman"/>
          <w:sz w:val="24"/>
          <w:szCs w:val="24"/>
        </w:rPr>
      </w:pPr>
    </w:p>
    <w:p w14:paraId="2D06F9C6" w14:textId="77777777" w:rsidR="004269BE" w:rsidRPr="00695DFA" w:rsidRDefault="004269BE" w:rsidP="00AB4D08">
      <w:pPr>
        <w:spacing w:after="0" w:line="240" w:lineRule="auto"/>
        <w:ind w:left="720"/>
        <w:contextualSpacing/>
        <w:jc w:val="both"/>
        <w:rPr>
          <w:rFonts w:ascii="Times New Roman" w:hAnsi="Times New Roman"/>
          <w:sz w:val="24"/>
          <w:szCs w:val="24"/>
        </w:rPr>
      </w:pPr>
    </w:p>
    <w:p w14:paraId="3668F00B" w14:textId="77777777" w:rsidR="008D49E8" w:rsidRPr="00695DFA" w:rsidRDefault="008D49E8" w:rsidP="00AB4D08">
      <w:pPr>
        <w:spacing w:after="0" w:line="240" w:lineRule="auto"/>
        <w:ind w:left="720"/>
        <w:contextualSpacing/>
        <w:jc w:val="both"/>
        <w:rPr>
          <w:rFonts w:ascii="Times New Roman" w:hAnsi="Times New Roman"/>
          <w:sz w:val="24"/>
          <w:szCs w:val="24"/>
        </w:rPr>
      </w:pPr>
    </w:p>
    <w:p w14:paraId="784A82D8" w14:textId="77777777" w:rsidR="00BF7EB3" w:rsidRPr="00051327" w:rsidRDefault="00BF7EB3" w:rsidP="00AB4D08">
      <w:pPr>
        <w:pStyle w:val="Ttulo1"/>
        <w:contextualSpacing/>
        <w:rPr>
          <w:rFonts w:cs="Times New Roman"/>
          <w:sz w:val="24"/>
          <w:szCs w:val="24"/>
        </w:rPr>
      </w:pPr>
      <w:bookmarkStart w:id="29" w:name="_Toc32317244"/>
      <w:r w:rsidRPr="00051327">
        <w:rPr>
          <w:rFonts w:cs="Times New Roman"/>
          <w:sz w:val="24"/>
          <w:szCs w:val="24"/>
        </w:rPr>
        <w:lastRenderedPageBreak/>
        <w:t>NOTA 6. INVERSIONES E INSTRUMENTOS DERIVADOS</w:t>
      </w:r>
      <w:bookmarkEnd w:id="29"/>
    </w:p>
    <w:p w14:paraId="5D8A9DB1" w14:textId="164F014D" w:rsidR="003527EB" w:rsidRPr="0031578D" w:rsidRDefault="003527EB" w:rsidP="00AB4D08">
      <w:pPr>
        <w:spacing w:after="0" w:line="240" w:lineRule="auto"/>
        <w:contextualSpacing/>
        <w:jc w:val="both"/>
        <w:rPr>
          <w:rFonts w:ascii="Times New Roman" w:hAnsi="Times New Roman"/>
          <w:b/>
          <w:sz w:val="24"/>
          <w:szCs w:val="24"/>
          <w:highlight w:val="yellow"/>
        </w:rPr>
      </w:pPr>
    </w:p>
    <w:p w14:paraId="29D067A5" w14:textId="1A861D54" w:rsidR="00BF7EB3" w:rsidRPr="00051327" w:rsidRDefault="00EC63D5" w:rsidP="00AB4D08">
      <w:pPr>
        <w:pStyle w:val="Ttulo2"/>
        <w:numPr>
          <w:ilvl w:val="0"/>
          <w:numId w:val="0"/>
        </w:numPr>
        <w:spacing w:line="240" w:lineRule="auto"/>
        <w:contextualSpacing/>
        <w:rPr>
          <w:rFonts w:cs="Times New Roman"/>
          <w:szCs w:val="24"/>
        </w:rPr>
      </w:pPr>
      <w:bookmarkStart w:id="30" w:name="_Toc32317245"/>
      <w:r>
        <w:rPr>
          <w:noProof/>
          <w:lang w:eastAsia="es-CO"/>
        </w:rPr>
        <w:drawing>
          <wp:anchor distT="0" distB="0" distL="114300" distR="114300" simplePos="0" relativeHeight="251676672" behindDoc="0" locked="0" layoutInCell="1" allowOverlap="1" wp14:anchorId="0ED6E3DA" wp14:editId="37B359EA">
            <wp:simplePos x="0" y="0"/>
            <wp:positionH relativeFrom="column">
              <wp:posOffset>177496</wp:posOffset>
            </wp:positionH>
            <wp:positionV relativeFrom="paragraph">
              <wp:posOffset>272669</wp:posOffset>
            </wp:positionV>
            <wp:extent cx="5544820" cy="1572895"/>
            <wp:effectExtent l="0" t="0" r="0" b="8255"/>
            <wp:wrapThrough wrapText="bothSides">
              <wp:wrapPolygon edited="0">
                <wp:start x="0" y="0"/>
                <wp:lineTo x="0" y="21452"/>
                <wp:lineTo x="21521" y="21452"/>
                <wp:lineTo x="21521"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44820" cy="1572895"/>
                    </a:xfrm>
                    <a:prstGeom prst="rect">
                      <a:avLst/>
                    </a:prstGeom>
                  </pic:spPr>
                </pic:pic>
              </a:graphicData>
            </a:graphic>
            <wp14:sizeRelH relativeFrom="margin">
              <wp14:pctWidth>0</wp14:pctWidth>
            </wp14:sizeRelH>
            <wp14:sizeRelV relativeFrom="margin">
              <wp14:pctHeight>0</wp14:pctHeight>
            </wp14:sizeRelV>
          </wp:anchor>
        </w:drawing>
      </w:r>
      <w:r w:rsidR="00E067B1" w:rsidRPr="00051327">
        <w:rPr>
          <w:rFonts w:cs="Times New Roman"/>
          <w:szCs w:val="24"/>
        </w:rPr>
        <w:t>Composición</w:t>
      </w:r>
      <w:bookmarkEnd w:id="30"/>
    </w:p>
    <w:p w14:paraId="728CF9E7" w14:textId="1D247415" w:rsidR="00F45D3A" w:rsidRDefault="00F45D3A" w:rsidP="00AB4D08">
      <w:pPr>
        <w:pStyle w:val="Prrafodelista"/>
        <w:spacing w:after="0" w:line="240" w:lineRule="auto"/>
        <w:jc w:val="both"/>
        <w:rPr>
          <w:rFonts w:ascii="Times New Roman" w:hAnsi="Times New Roman"/>
          <w:sz w:val="24"/>
          <w:szCs w:val="24"/>
          <w:highlight w:val="yellow"/>
        </w:rPr>
      </w:pPr>
    </w:p>
    <w:p w14:paraId="7048A27A" w14:textId="59DAA0BA" w:rsidR="003B116A" w:rsidRPr="007C6122" w:rsidRDefault="00A72395" w:rsidP="00AB4D08">
      <w:pPr>
        <w:pStyle w:val="Ttulo2"/>
        <w:numPr>
          <w:ilvl w:val="1"/>
          <w:numId w:val="24"/>
        </w:numPr>
        <w:spacing w:line="240" w:lineRule="auto"/>
        <w:ind w:left="567" w:hanging="567"/>
        <w:contextualSpacing/>
        <w:rPr>
          <w:rFonts w:cs="Times New Roman"/>
          <w:szCs w:val="24"/>
        </w:rPr>
      </w:pPr>
      <w:bookmarkStart w:id="31" w:name="_Toc32317246"/>
      <w:r w:rsidRPr="007C6122">
        <w:rPr>
          <w:rFonts w:cs="Times New Roman"/>
          <w:szCs w:val="24"/>
        </w:rPr>
        <w:t>Inversiones de administración de liquidez</w:t>
      </w:r>
      <w:r w:rsidR="00051327" w:rsidRPr="007C6122">
        <w:rPr>
          <w:rFonts w:cs="Times New Roman"/>
          <w:szCs w:val="24"/>
        </w:rPr>
        <w:t xml:space="preserve"> a costo amortizado</w:t>
      </w:r>
      <w:bookmarkEnd w:id="31"/>
    </w:p>
    <w:p w14:paraId="2D8E1749" w14:textId="28F979B5" w:rsidR="003B116A" w:rsidRPr="007C6122" w:rsidRDefault="003B116A" w:rsidP="00AB4D08">
      <w:pPr>
        <w:spacing w:after="0" w:line="240" w:lineRule="auto"/>
        <w:ind w:left="567"/>
        <w:contextualSpacing/>
        <w:jc w:val="both"/>
        <w:rPr>
          <w:rFonts w:ascii="Times New Roman" w:hAnsi="Times New Roman"/>
          <w:sz w:val="24"/>
          <w:szCs w:val="24"/>
        </w:rPr>
      </w:pPr>
    </w:p>
    <w:p w14:paraId="3325E5D1" w14:textId="4FE87168" w:rsidR="007C6122" w:rsidRDefault="007C6122" w:rsidP="00AB4D08">
      <w:pPr>
        <w:suppressAutoHyphens/>
        <w:spacing w:line="240" w:lineRule="auto"/>
        <w:ind w:left="567"/>
        <w:contextualSpacing/>
        <w:jc w:val="both"/>
        <w:rPr>
          <w:rFonts w:ascii="Times New Roman" w:hAnsi="Times New Roman"/>
          <w:sz w:val="24"/>
          <w:szCs w:val="24"/>
        </w:rPr>
      </w:pPr>
      <w:r w:rsidRPr="00B80D25">
        <w:rPr>
          <w:rFonts w:ascii="Times New Roman" w:hAnsi="Times New Roman"/>
          <w:sz w:val="24"/>
          <w:szCs w:val="24"/>
        </w:rPr>
        <w:t>Está conformado por inversiones en renta fija –CDTS</w:t>
      </w:r>
      <w:r>
        <w:rPr>
          <w:rFonts w:ascii="Times New Roman" w:hAnsi="Times New Roman"/>
          <w:sz w:val="24"/>
          <w:szCs w:val="24"/>
        </w:rPr>
        <w:t xml:space="preserve">, </w:t>
      </w:r>
      <w:r w:rsidRPr="00B80D25">
        <w:rPr>
          <w:rFonts w:ascii="Times New Roman" w:hAnsi="Times New Roman"/>
          <w:sz w:val="24"/>
          <w:szCs w:val="24"/>
        </w:rPr>
        <w:t>constituidos con las entidades financieras, administradas bajo los parámetros de seguridad y rentabilidad establecidos por la Secretaria de Hacienda Distrital.</w:t>
      </w:r>
    </w:p>
    <w:p w14:paraId="1D159A76" w14:textId="77777777" w:rsidR="00C53F73" w:rsidRPr="00B80D25" w:rsidRDefault="00C53F73" w:rsidP="00AB4D08">
      <w:pPr>
        <w:suppressAutoHyphens/>
        <w:spacing w:line="240" w:lineRule="auto"/>
        <w:ind w:left="567"/>
        <w:contextualSpacing/>
        <w:jc w:val="both"/>
        <w:rPr>
          <w:rFonts w:ascii="Times New Roman" w:hAnsi="Times New Roman"/>
          <w:sz w:val="24"/>
          <w:szCs w:val="24"/>
        </w:rPr>
      </w:pPr>
    </w:p>
    <w:p w14:paraId="2E4B8A6C" w14:textId="72C3A6DC" w:rsidR="00F94DBE" w:rsidRDefault="007C6122" w:rsidP="00AB4D08">
      <w:pPr>
        <w:suppressAutoHyphens/>
        <w:spacing w:line="240" w:lineRule="auto"/>
        <w:ind w:left="567"/>
        <w:contextualSpacing/>
        <w:jc w:val="both"/>
        <w:rPr>
          <w:rFonts w:ascii="Times New Roman" w:hAnsi="Times New Roman"/>
          <w:sz w:val="24"/>
          <w:szCs w:val="24"/>
        </w:rPr>
      </w:pPr>
      <w:r w:rsidRPr="00B80D25">
        <w:rPr>
          <w:rFonts w:ascii="Times New Roman" w:hAnsi="Times New Roman"/>
          <w:sz w:val="24"/>
          <w:szCs w:val="24"/>
        </w:rPr>
        <w:t xml:space="preserve">Se clasifican como </w:t>
      </w:r>
      <w:r>
        <w:rPr>
          <w:rFonts w:ascii="Times New Roman" w:hAnsi="Times New Roman"/>
          <w:sz w:val="24"/>
          <w:szCs w:val="24"/>
        </w:rPr>
        <w:t>i</w:t>
      </w:r>
      <w:r w:rsidRPr="00B80D25">
        <w:rPr>
          <w:rFonts w:ascii="Times New Roman" w:hAnsi="Times New Roman"/>
          <w:sz w:val="24"/>
          <w:szCs w:val="24"/>
        </w:rPr>
        <w:t xml:space="preserve">nversiones de </w:t>
      </w:r>
      <w:r>
        <w:rPr>
          <w:rFonts w:ascii="Times New Roman" w:hAnsi="Times New Roman"/>
          <w:sz w:val="24"/>
          <w:szCs w:val="24"/>
        </w:rPr>
        <w:t>a</w:t>
      </w:r>
      <w:r w:rsidRPr="00B80D25">
        <w:rPr>
          <w:rFonts w:ascii="Times New Roman" w:hAnsi="Times New Roman"/>
          <w:sz w:val="24"/>
          <w:szCs w:val="24"/>
        </w:rPr>
        <w:t xml:space="preserve">dministración de </w:t>
      </w:r>
      <w:r>
        <w:rPr>
          <w:rFonts w:ascii="Times New Roman" w:hAnsi="Times New Roman"/>
          <w:sz w:val="24"/>
          <w:szCs w:val="24"/>
        </w:rPr>
        <w:t>l</w:t>
      </w:r>
      <w:r w:rsidRPr="00B80D25">
        <w:rPr>
          <w:rFonts w:ascii="Times New Roman" w:hAnsi="Times New Roman"/>
          <w:sz w:val="24"/>
          <w:szCs w:val="24"/>
        </w:rPr>
        <w:t xml:space="preserve">iquidez al </w:t>
      </w:r>
      <w:r>
        <w:rPr>
          <w:rFonts w:ascii="Times New Roman" w:hAnsi="Times New Roman"/>
          <w:sz w:val="24"/>
          <w:szCs w:val="24"/>
        </w:rPr>
        <w:t>c</w:t>
      </w:r>
      <w:r w:rsidRPr="00B80D25">
        <w:rPr>
          <w:rFonts w:ascii="Times New Roman" w:hAnsi="Times New Roman"/>
          <w:sz w:val="24"/>
          <w:szCs w:val="24"/>
        </w:rPr>
        <w:t xml:space="preserve">osto </w:t>
      </w:r>
      <w:r>
        <w:rPr>
          <w:rFonts w:ascii="Times New Roman" w:hAnsi="Times New Roman"/>
          <w:sz w:val="24"/>
          <w:szCs w:val="24"/>
        </w:rPr>
        <w:t>a</w:t>
      </w:r>
      <w:r w:rsidRPr="00B80D25">
        <w:rPr>
          <w:rFonts w:ascii="Times New Roman" w:hAnsi="Times New Roman"/>
          <w:sz w:val="24"/>
          <w:szCs w:val="24"/>
        </w:rPr>
        <w:t xml:space="preserve">mortizado porque son inversiones que la entidad constituye con la intención y capacidad de conservar hasta su vencimiento, cuyos rendimientos provienen de los flujos contractuales de los títulos. </w:t>
      </w:r>
    </w:p>
    <w:p w14:paraId="4FEE489C" w14:textId="4F1B4EC9" w:rsidR="007C6122" w:rsidRDefault="00F94DBE" w:rsidP="00AB4D08">
      <w:pPr>
        <w:suppressAutoHyphens/>
        <w:spacing w:line="240" w:lineRule="auto"/>
        <w:ind w:left="567"/>
        <w:contextualSpacing/>
        <w:jc w:val="both"/>
        <w:rPr>
          <w:rFonts w:ascii="Times New Roman" w:hAnsi="Times New Roman"/>
          <w:sz w:val="24"/>
          <w:szCs w:val="24"/>
        </w:rPr>
      </w:pPr>
      <w:r>
        <w:rPr>
          <w:rFonts w:ascii="Times New Roman" w:hAnsi="Times New Roman"/>
          <w:sz w:val="24"/>
          <w:szCs w:val="24"/>
        </w:rPr>
        <w:t>La medición  inicial de las inversiones corresponde a</w:t>
      </w:r>
      <w:r w:rsidR="007C6122" w:rsidRPr="00B80D25">
        <w:rPr>
          <w:rFonts w:ascii="Times New Roman" w:hAnsi="Times New Roman"/>
          <w:sz w:val="24"/>
          <w:szCs w:val="24"/>
        </w:rPr>
        <w:t xml:space="preserve">l costo de </w:t>
      </w:r>
      <w:r>
        <w:rPr>
          <w:rFonts w:ascii="Times New Roman" w:hAnsi="Times New Roman"/>
          <w:sz w:val="24"/>
          <w:szCs w:val="24"/>
        </w:rPr>
        <w:t xml:space="preserve">la </w:t>
      </w:r>
      <w:r w:rsidR="007C6122" w:rsidRPr="00B80D25">
        <w:rPr>
          <w:rFonts w:ascii="Times New Roman" w:hAnsi="Times New Roman"/>
          <w:sz w:val="24"/>
          <w:szCs w:val="24"/>
        </w:rPr>
        <w:t>transacción y la medición posterior al costo amortizado.</w:t>
      </w:r>
    </w:p>
    <w:p w14:paraId="53E541AE" w14:textId="77777777" w:rsidR="00C53F73" w:rsidRPr="00B80D25" w:rsidRDefault="00C53F73" w:rsidP="00AB4D08">
      <w:pPr>
        <w:suppressAutoHyphens/>
        <w:spacing w:line="240" w:lineRule="auto"/>
        <w:ind w:left="567"/>
        <w:contextualSpacing/>
        <w:jc w:val="both"/>
        <w:rPr>
          <w:rFonts w:ascii="Times New Roman" w:hAnsi="Times New Roman"/>
          <w:sz w:val="24"/>
          <w:szCs w:val="24"/>
        </w:rPr>
      </w:pPr>
    </w:p>
    <w:p w14:paraId="03645FAB" w14:textId="77777777" w:rsidR="007C6122" w:rsidRPr="00B80D25" w:rsidRDefault="007C6122" w:rsidP="00AB4D08">
      <w:pPr>
        <w:suppressAutoHyphens/>
        <w:spacing w:line="240" w:lineRule="auto"/>
        <w:ind w:left="567"/>
        <w:contextualSpacing/>
        <w:jc w:val="both"/>
        <w:rPr>
          <w:rFonts w:ascii="Times New Roman" w:hAnsi="Times New Roman"/>
          <w:sz w:val="24"/>
          <w:szCs w:val="24"/>
        </w:rPr>
      </w:pPr>
      <w:r w:rsidRPr="00B80D25">
        <w:rPr>
          <w:rFonts w:ascii="Times New Roman" w:hAnsi="Times New Roman"/>
          <w:sz w:val="24"/>
          <w:szCs w:val="24"/>
        </w:rPr>
        <w:t>Se encuentran debidamente conciliadas a 31 de diciembre de 2019, entre la Subdirección Técnica de Tesorería y Recaudo y la Subdirección Técnica de Presupuesto y Contabilidad.</w:t>
      </w:r>
    </w:p>
    <w:p w14:paraId="70F64AE6" w14:textId="4CDEA728" w:rsidR="00F94DBE" w:rsidRDefault="007C6122" w:rsidP="00AB4D08">
      <w:pPr>
        <w:suppressAutoHyphens/>
        <w:spacing w:line="240" w:lineRule="auto"/>
        <w:ind w:left="567"/>
        <w:contextualSpacing/>
        <w:jc w:val="both"/>
        <w:rPr>
          <w:rFonts w:ascii="Times New Roman" w:hAnsi="Times New Roman"/>
          <w:sz w:val="24"/>
          <w:szCs w:val="24"/>
        </w:rPr>
      </w:pPr>
      <w:r w:rsidRPr="00B80D25">
        <w:rPr>
          <w:rFonts w:ascii="Times New Roman" w:hAnsi="Times New Roman"/>
          <w:sz w:val="24"/>
          <w:szCs w:val="24"/>
        </w:rPr>
        <w:t>El portafolio de inversiones en CDT</w:t>
      </w:r>
      <w:r w:rsidR="00782CC4">
        <w:rPr>
          <w:rFonts w:ascii="Times New Roman" w:hAnsi="Times New Roman"/>
          <w:sz w:val="24"/>
          <w:szCs w:val="24"/>
        </w:rPr>
        <w:t>S</w:t>
      </w:r>
      <w:r w:rsidRPr="00B80D25">
        <w:rPr>
          <w:rFonts w:ascii="Times New Roman" w:hAnsi="Times New Roman"/>
          <w:sz w:val="24"/>
          <w:szCs w:val="24"/>
        </w:rPr>
        <w:t xml:space="preserve"> a 31 de diciembre de 2019, asciende a $953</w:t>
      </w:r>
      <w:r w:rsidR="00F94DBE">
        <w:rPr>
          <w:rFonts w:ascii="Times New Roman" w:hAnsi="Times New Roman"/>
          <w:sz w:val="24"/>
          <w:szCs w:val="24"/>
        </w:rPr>
        <w:t>.</w:t>
      </w:r>
      <w:r w:rsidRPr="00B80D25">
        <w:rPr>
          <w:rFonts w:ascii="Times New Roman" w:hAnsi="Times New Roman"/>
          <w:sz w:val="24"/>
          <w:szCs w:val="24"/>
        </w:rPr>
        <w:t>479</w:t>
      </w:r>
      <w:r w:rsidR="00F94DBE">
        <w:rPr>
          <w:rFonts w:ascii="Times New Roman" w:hAnsi="Times New Roman"/>
          <w:sz w:val="24"/>
          <w:szCs w:val="24"/>
        </w:rPr>
        <w:t>.</w:t>
      </w:r>
      <w:r w:rsidRPr="00B80D25">
        <w:rPr>
          <w:rFonts w:ascii="Times New Roman" w:hAnsi="Times New Roman"/>
          <w:sz w:val="24"/>
          <w:szCs w:val="24"/>
        </w:rPr>
        <w:t>873</w:t>
      </w:r>
      <w:r w:rsidR="00F94DBE">
        <w:rPr>
          <w:rFonts w:ascii="Times New Roman" w:hAnsi="Times New Roman"/>
          <w:sz w:val="24"/>
          <w:szCs w:val="24"/>
        </w:rPr>
        <w:t>.</w:t>
      </w:r>
      <w:r w:rsidRPr="00B80D25">
        <w:rPr>
          <w:rFonts w:ascii="Times New Roman" w:hAnsi="Times New Roman"/>
          <w:sz w:val="24"/>
          <w:szCs w:val="24"/>
        </w:rPr>
        <w:t xml:space="preserve">647, </w:t>
      </w:r>
      <w:r w:rsidR="00F94DBE">
        <w:rPr>
          <w:rFonts w:ascii="Times New Roman" w:hAnsi="Times New Roman"/>
          <w:sz w:val="24"/>
          <w:szCs w:val="24"/>
        </w:rPr>
        <w:t xml:space="preserve">que </w:t>
      </w:r>
      <w:r w:rsidRPr="00B80D25">
        <w:rPr>
          <w:rFonts w:ascii="Times New Roman" w:hAnsi="Times New Roman"/>
          <w:sz w:val="24"/>
          <w:szCs w:val="24"/>
        </w:rPr>
        <w:t xml:space="preserve">representa el 7,30% del valor del Activo. Está conformado </w:t>
      </w:r>
      <w:r w:rsidRPr="00B80D25">
        <w:rPr>
          <w:rFonts w:ascii="Times New Roman" w:hAnsi="Times New Roman"/>
          <w:color w:val="FF0000"/>
          <w:sz w:val="24"/>
          <w:szCs w:val="24"/>
        </w:rPr>
        <w:t xml:space="preserve"> </w:t>
      </w:r>
      <w:r w:rsidRPr="00B80D25">
        <w:rPr>
          <w:rFonts w:ascii="Times New Roman" w:hAnsi="Times New Roman"/>
          <w:sz w:val="24"/>
          <w:szCs w:val="24"/>
        </w:rPr>
        <w:t>por su valor nominal (costo de transacción)</w:t>
      </w:r>
      <w:r w:rsidR="00F94DBE">
        <w:rPr>
          <w:rFonts w:ascii="Times New Roman" w:hAnsi="Times New Roman"/>
          <w:sz w:val="24"/>
          <w:szCs w:val="24"/>
        </w:rPr>
        <w:t xml:space="preserve">, </w:t>
      </w:r>
      <w:r w:rsidRPr="00B80D25">
        <w:rPr>
          <w:rFonts w:ascii="Times New Roman" w:hAnsi="Times New Roman"/>
          <w:sz w:val="24"/>
          <w:szCs w:val="24"/>
        </w:rPr>
        <w:t>$9</w:t>
      </w:r>
      <w:r>
        <w:rPr>
          <w:rFonts w:ascii="Times New Roman" w:hAnsi="Times New Roman"/>
          <w:sz w:val="24"/>
          <w:szCs w:val="24"/>
        </w:rPr>
        <w:t>42</w:t>
      </w:r>
      <w:r w:rsidR="00F94DBE">
        <w:rPr>
          <w:rFonts w:ascii="Times New Roman" w:hAnsi="Times New Roman"/>
          <w:sz w:val="24"/>
          <w:szCs w:val="24"/>
        </w:rPr>
        <w:t>.</w:t>
      </w:r>
      <w:r>
        <w:rPr>
          <w:rFonts w:ascii="Times New Roman" w:hAnsi="Times New Roman"/>
          <w:sz w:val="24"/>
          <w:szCs w:val="24"/>
        </w:rPr>
        <w:t>358</w:t>
      </w:r>
      <w:r w:rsidR="00F94DBE">
        <w:rPr>
          <w:rFonts w:ascii="Times New Roman" w:hAnsi="Times New Roman"/>
          <w:sz w:val="24"/>
          <w:szCs w:val="24"/>
        </w:rPr>
        <w:t>.</w:t>
      </w:r>
      <w:r>
        <w:rPr>
          <w:rFonts w:ascii="Times New Roman" w:hAnsi="Times New Roman"/>
          <w:sz w:val="24"/>
          <w:szCs w:val="24"/>
        </w:rPr>
        <w:t>335</w:t>
      </w:r>
      <w:r w:rsidR="00F94DBE">
        <w:rPr>
          <w:rFonts w:ascii="Times New Roman" w:hAnsi="Times New Roman"/>
          <w:sz w:val="24"/>
          <w:szCs w:val="24"/>
        </w:rPr>
        <w:t>.</w:t>
      </w:r>
      <w:r w:rsidRPr="00B80D25">
        <w:rPr>
          <w:rFonts w:ascii="Times New Roman" w:hAnsi="Times New Roman"/>
          <w:sz w:val="24"/>
          <w:szCs w:val="24"/>
        </w:rPr>
        <w:t>6</w:t>
      </w:r>
      <w:r>
        <w:rPr>
          <w:rFonts w:ascii="Times New Roman" w:hAnsi="Times New Roman"/>
          <w:sz w:val="24"/>
          <w:szCs w:val="24"/>
        </w:rPr>
        <w:t>6</w:t>
      </w:r>
      <w:r w:rsidRPr="00B80D25">
        <w:rPr>
          <w:rFonts w:ascii="Times New Roman" w:hAnsi="Times New Roman"/>
          <w:sz w:val="24"/>
          <w:szCs w:val="24"/>
        </w:rPr>
        <w:t>7</w:t>
      </w:r>
      <w:r w:rsidRPr="00B80D25">
        <w:rPr>
          <w:rFonts w:ascii="Times New Roman" w:hAnsi="Times New Roman"/>
          <w:color w:val="FF0000"/>
          <w:sz w:val="24"/>
          <w:szCs w:val="24"/>
        </w:rPr>
        <w:t xml:space="preserve">  </w:t>
      </w:r>
      <w:r w:rsidRPr="00B80D25">
        <w:rPr>
          <w:rFonts w:ascii="Times New Roman" w:hAnsi="Times New Roman"/>
          <w:sz w:val="24"/>
          <w:szCs w:val="24"/>
        </w:rPr>
        <w:t>más el valor de los rendimientos por $</w:t>
      </w:r>
      <w:r w:rsidRPr="00FC6BDA">
        <w:rPr>
          <w:rFonts w:ascii="Times New Roman" w:hAnsi="Times New Roman"/>
          <w:sz w:val="24"/>
          <w:szCs w:val="24"/>
        </w:rPr>
        <w:t>11.121.537.980</w:t>
      </w:r>
      <w:r>
        <w:rPr>
          <w:rFonts w:ascii="Times New Roman" w:hAnsi="Times New Roman"/>
          <w:sz w:val="24"/>
          <w:szCs w:val="24"/>
        </w:rPr>
        <w:t>.</w:t>
      </w:r>
    </w:p>
    <w:p w14:paraId="696D537D" w14:textId="77777777" w:rsidR="00CD42D0" w:rsidRDefault="00CD42D0" w:rsidP="00AB4D08">
      <w:pPr>
        <w:suppressAutoHyphens/>
        <w:spacing w:line="240" w:lineRule="auto"/>
        <w:ind w:left="567"/>
        <w:contextualSpacing/>
        <w:jc w:val="both"/>
        <w:rPr>
          <w:rFonts w:ascii="Times New Roman" w:hAnsi="Times New Roman"/>
          <w:sz w:val="24"/>
          <w:szCs w:val="24"/>
        </w:rPr>
      </w:pPr>
    </w:p>
    <w:p w14:paraId="3CB6D22D" w14:textId="01F00DEE" w:rsidR="007C6122" w:rsidRDefault="007C6122" w:rsidP="00AB4D08">
      <w:pPr>
        <w:suppressAutoHyphens/>
        <w:spacing w:line="240" w:lineRule="auto"/>
        <w:ind w:left="567"/>
        <w:contextualSpacing/>
        <w:jc w:val="both"/>
        <w:rPr>
          <w:rFonts w:ascii="Times New Roman" w:hAnsi="Times New Roman"/>
          <w:sz w:val="24"/>
          <w:szCs w:val="24"/>
        </w:rPr>
      </w:pPr>
      <w:r>
        <w:rPr>
          <w:rFonts w:ascii="Times New Roman" w:hAnsi="Times New Roman"/>
          <w:sz w:val="24"/>
          <w:szCs w:val="24"/>
        </w:rPr>
        <w:t>T</w:t>
      </w:r>
      <w:r w:rsidRPr="00B80D25">
        <w:rPr>
          <w:rFonts w:ascii="Times New Roman" w:hAnsi="Times New Roman"/>
          <w:sz w:val="24"/>
          <w:szCs w:val="24"/>
        </w:rPr>
        <w:t>eniendo en cuenta la fuente de financiación, las más representativas son:</w:t>
      </w:r>
    </w:p>
    <w:p w14:paraId="60D36A12" w14:textId="77777777" w:rsidR="00C53F73" w:rsidRPr="00B80D25" w:rsidRDefault="00C53F73" w:rsidP="00AB4D08">
      <w:pPr>
        <w:suppressAutoHyphens/>
        <w:spacing w:line="240" w:lineRule="auto"/>
        <w:ind w:left="567"/>
        <w:contextualSpacing/>
        <w:jc w:val="both"/>
        <w:rPr>
          <w:rFonts w:ascii="Times New Roman" w:hAnsi="Times New Roman"/>
          <w:sz w:val="24"/>
          <w:szCs w:val="24"/>
        </w:rPr>
      </w:pPr>
    </w:p>
    <w:p w14:paraId="62BC5F63" w14:textId="27BB3F26" w:rsidR="00051327" w:rsidRPr="007C6122" w:rsidRDefault="00F94DBE" w:rsidP="00AB4D08">
      <w:pPr>
        <w:spacing w:after="0" w:line="240" w:lineRule="auto"/>
        <w:ind w:left="567"/>
        <w:contextualSpacing/>
        <w:jc w:val="both"/>
        <w:rPr>
          <w:rFonts w:ascii="Times New Roman" w:hAnsi="Times New Roman"/>
          <w:sz w:val="24"/>
          <w:szCs w:val="24"/>
        </w:rPr>
      </w:pPr>
      <w:r w:rsidRPr="00F94DBE">
        <w:rPr>
          <w:noProof/>
          <w:lang w:eastAsia="es-CO"/>
        </w:rPr>
        <w:drawing>
          <wp:inline distT="0" distB="0" distL="0" distR="0" wp14:anchorId="4860C16C" wp14:editId="2DC2DD94">
            <wp:extent cx="3514725" cy="77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771525"/>
                    </a:xfrm>
                    <a:prstGeom prst="rect">
                      <a:avLst/>
                    </a:prstGeom>
                    <a:noFill/>
                    <a:ln>
                      <a:noFill/>
                    </a:ln>
                  </pic:spPr>
                </pic:pic>
              </a:graphicData>
            </a:graphic>
          </wp:inline>
        </w:drawing>
      </w:r>
    </w:p>
    <w:p w14:paraId="53D10B38" w14:textId="77777777" w:rsidR="00051327" w:rsidRPr="00256DAC" w:rsidRDefault="00051327" w:rsidP="00AB4D08">
      <w:pPr>
        <w:spacing w:after="0" w:line="240" w:lineRule="auto"/>
        <w:ind w:left="567"/>
        <w:contextualSpacing/>
        <w:jc w:val="both"/>
        <w:rPr>
          <w:rFonts w:ascii="Times New Roman" w:hAnsi="Times New Roman"/>
          <w:sz w:val="24"/>
          <w:szCs w:val="24"/>
        </w:rPr>
      </w:pPr>
    </w:p>
    <w:p w14:paraId="15A83505" w14:textId="77777777" w:rsidR="00051327" w:rsidRPr="00256DAC" w:rsidRDefault="00051327" w:rsidP="00AB4D08">
      <w:pPr>
        <w:spacing w:after="0" w:line="240" w:lineRule="auto"/>
        <w:ind w:left="567"/>
        <w:contextualSpacing/>
        <w:jc w:val="both"/>
        <w:rPr>
          <w:rFonts w:ascii="Times New Roman" w:hAnsi="Times New Roman"/>
          <w:sz w:val="24"/>
          <w:szCs w:val="24"/>
        </w:rPr>
      </w:pPr>
    </w:p>
    <w:p w14:paraId="5A18F339" w14:textId="77777777" w:rsidR="00904B88" w:rsidRDefault="00904B88" w:rsidP="00AB4D08">
      <w:pPr>
        <w:spacing w:after="0" w:line="240" w:lineRule="auto"/>
        <w:ind w:left="567"/>
        <w:contextualSpacing/>
        <w:jc w:val="both"/>
        <w:rPr>
          <w:rFonts w:ascii="Times New Roman" w:hAnsi="Times New Roman"/>
          <w:sz w:val="24"/>
          <w:szCs w:val="24"/>
        </w:rPr>
      </w:pPr>
    </w:p>
    <w:p w14:paraId="768D4504" w14:textId="77777777" w:rsidR="00EC63D5" w:rsidRPr="00256DAC" w:rsidRDefault="00EC63D5" w:rsidP="00AB4D08">
      <w:pPr>
        <w:spacing w:after="0" w:line="240" w:lineRule="auto"/>
        <w:ind w:left="567"/>
        <w:contextualSpacing/>
        <w:jc w:val="both"/>
        <w:rPr>
          <w:rFonts w:ascii="Times New Roman" w:hAnsi="Times New Roman"/>
          <w:sz w:val="24"/>
          <w:szCs w:val="24"/>
        </w:rPr>
      </w:pPr>
    </w:p>
    <w:p w14:paraId="31A8F7CE" w14:textId="77777777" w:rsidR="00256DAC" w:rsidRPr="00256DAC" w:rsidRDefault="00256DAC" w:rsidP="00AB4D08">
      <w:pPr>
        <w:spacing w:after="0" w:line="240" w:lineRule="auto"/>
        <w:ind w:left="567"/>
        <w:contextualSpacing/>
        <w:jc w:val="both"/>
        <w:rPr>
          <w:rFonts w:ascii="Times New Roman" w:hAnsi="Times New Roman"/>
          <w:sz w:val="24"/>
          <w:szCs w:val="24"/>
        </w:rPr>
      </w:pPr>
    </w:p>
    <w:p w14:paraId="3A376C2F" w14:textId="77777777" w:rsidR="00256DAC" w:rsidRPr="00256DAC" w:rsidRDefault="00256DAC" w:rsidP="00AB4D08">
      <w:pPr>
        <w:spacing w:after="0" w:line="240" w:lineRule="auto"/>
        <w:ind w:left="567"/>
        <w:contextualSpacing/>
        <w:jc w:val="both"/>
        <w:rPr>
          <w:rFonts w:ascii="Times New Roman" w:hAnsi="Times New Roman"/>
          <w:sz w:val="24"/>
          <w:szCs w:val="24"/>
        </w:rPr>
      </w:pPr>
    </w:p>
    <w:p w14:paraId="7B3E1273" w14:textId="404868C3" w:rsidR="00256DAC" w:rsidRDefault="00256DAC" w:rsidP="00AB4D08">
      <w:pPr>
        <w:spacing w:after="0" w:line="240" w:lineRule="auto"/>
        <w:ind w:left="567"/>
        <w:contextualSpacing/>
        <w:jc w:val="both"/>
        <w:rPr>
          <w:rFonts w:ascii="Times New Roman" w:hAnsi="Times New Roman"/>
          <w:sz w:val="24"/>
          <w:szCs w:val="24"/>
        </w:rPr>
      </w:pPr>
      <w:r w:rsidRPr="00256DAC">
        <w:rPr>
          <w:rFonts w:ascii="Times New Roman" w:hAnsi="Times New Roman"/>
          <w:sz w:val="24"/>
          <w:szCs w:val="24"/>
        </w:rPr>
        <w:lastRenderedPageBreak/>
        <w:t xml:space="preserve">Detalle </w:t>
      </w:r>
      <w:r>
        <w:rPr>
          <w:rFonts w:ascii="Times New Roman" w:hAnsi="Times New Roman"/>
          <w:sz w:val="24"/>
          <w:szCs w:val="24"/>
        </w:rPr>
        <w:t>d</w:t>
      </w:r>
      <w:r w:rsidRPr="00256DAC">
        <w:rPr>
          <w:rFonts w:ascii="Times New Roman" w:hAnsi="Times New Roman"/>
          <w:sz w:val="24"/>
          <w:szCs w:val="24"/>
        </w:rPr>
        <w:t>e las inversiones a costo amortizado</w:t>
      </w:r>
      <w:r>
        <w:rPr>
          <w:rFonts w:ascii="Times New Roman" w:hAnsi="Times New Roman"/>
          <w:sz w:val="24"/>
          <w:szCs w:val="24"/>
        </w:rPr>
        <w:t>:</w:t>
      </w:r>
    </w:p>
    <w:p w14:paraId="4D4C24E6" w14:textId="77777777" w:rsidR="00256DAC" w:rsidRPr="00256DAC" w:rsidRDefault="00256DAC" w:rsidP="00AB4D08">
      <w:pPr>
        <w:spacing w:after="0" w:line="240" w:lineRule="auto"/>
        <w:ind w:left="567"/>
        <w:contextualSpacing/>
        <w:jc w:val="both"/>
        <w:rPr>
          <w:rFonts w:ascii="Times New Roman" w:hAnsi="Times New Roman"/>
          <w:sz w:val="24"/>
          <w:szCs w:val="24"/>
        </w:rPr>
      </w:pPr>
    </w:p>
    <w:p w14:paraId="0A37ABC6" w14:textId="415763D7" w:rsidR="00904B88" w:rsidRPr="00256DAC" w:rsidRDefault="00EA6A65" w:rsidP="00AB4D08">
      <w:pPr>
        <w:spacing w:after="0" w:line="240" w:lineRule="auto"/>
        <w:ind w:left="567"/>
        <w:contextualSpacing/>
        <w:jc w:val="both"/>
        <w:rPr>
          <w:rFonts w:ascii="Times New Roman" w:hAnsi="Times New Roman"/>
          <w:sz w:val="24"/>
          <w:szCs w:val="24"/>
        </w:rPr>
      </w:pPr>
      <w:r w:rsidRPr="00256DAC">
        <w:rPr>
          <w:noProof/>
          <w:lang w:eastAsia="es-CO"/>
        </w:rPr>
        <w:drawing>
          <wp:inline distT="0" distB="0" distL="0" distR="0" wp14:anchorId="509E1049" wp14:editId="5AF08002">
            <wp:extent cx="3619500" cy="4775083"/>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3539" cy="4780412"/>
                    </a:xfrm>
                    <a:prstGeom prst="rect">
                      <a:avLst/>
                    </a:prstGeom>
                  </pic:spPr>
                </pic:pic>
              </a:graphicData>
            </a:graphic>
          </wp:inline>
        </w:drawing>
      </w:r>
    </w:p>
    <w:p w14:paraId="14C58B25" w14:textId="576BA36B" w:rsidR="00904B88" w:rsidRDefault="00904B88" w:rsidP="00AB4D08">
      <w:pPr>
        <w:spacing w:after="0" w:line="240" w:lineRule="auto"/>
        <w:ind w:left="567"/>
        <w:contextualSpacing/>
        <w:jc w:val="both"/>
        <w:rPr>
          <w:rFonts w:ascii="Times New Roman" w:hAnsi="Times New Roman"/>
          <w:sz w:val="24"/>
          <w:szCs w:val="24"/>
          <w:highlight w:val="yellow"/>
        </w:rPr>
      </w:pPr>
    </w:p>
    <w:p w14:paraId="7977D777" w14:textId="0ACDE28D" w:rsidR="00904B88" w:rsidRDefault="00904B88" w:rsidP="00AB4D08">
      <w:pPr>
        <w:spacing w:after="0" w:line="240" w:lineRule="auto"/>
        <w:ind w:left="567"/>
        <w:contextualSpacing/>
        <w:jc w:val="both"/>
        <w:rPr>
          <w:rFonts w:ascii="Times New Roman" w:hAnsi="Times New Roman"/>
          <w:sz w:val="24"/>
          <w:szCs w:val="24"/>
          <w:highlight w:val="yellow"/>
        </w:rPr>
      </w:pPr>
    </w:p>
    <w:p w14:paraId="0591E5F2" w14:textId="1396513E" w:rsidR="00904B88" w:rsidRPr="00904B88" w:rsidRDefault="00904B88" w:rsidP="00AB4D08">
      <w:pPr>
        <w:spacing w:after="0" w:line="240" w:lineRule="auto"/>
        <w:ind w:left="567"/>
        <w:contextualSpacing/>
        <w:jc w:val="both"/>
        <w:rPr>
          <w:rFonts w:ascii="Times New Roman" w:hAnsi="Times New Roman"/>
          <w:sz w:val="24"/>
          <w:szCs w:val="24"/>
        </w:rPr>
      </w:pPr>
    </w:p>
    <w:p w14:paraId="492F362D" w14:textId="2B0F5D81" w:rsidR="00904B88" w:rsidRPr="00904B88" w:rsidRDefault="00904B88" w:rsidP="00AB4D08">
      <w:pPr>
        <w:spacing w:after="0" w:line="240" w:lineRule="auto"/>
        <w:ind w:left="567"/>
        <w:contextualSpacing/>
        <w:jc w:val="both"/>
        <w:rPr>
          <w:rFonts w:ascii="Times New Roman" w:hAnsi="Times New Roman"/>
          <w:sz w:val="24"/>
          <w:szCs w:val="24"/>
        </w:rPr>
      </w:pPr>
    </w:p>
    <w:p w14:paraId="7106B3D7" w14:textId="77777777" w:rsidR="00051327" w:rsidRDefault="00051327" w:rsidP="00AB4D08">
      <w:pPr>
        <w:spacing w:after="0" w:line="240" w:lineRule="auto"/>
        <w:contextualSpacing/>
        <w:jc w:val="both"/>
        <w:rPr>
          <w:rFonts w:ascii="Times New Roman" w:hAnsi="Times New Roman"/>
          <w:sz w:val="24"/>
          <w:szCs w:val="24"/>
        </w:rPr>
      </w:pPr>
    </w:p>
    <w:p w14:paraId="05AD6175" w14:textId="77777777" w:rsidR="00904B88" w:rsidRDefault="00904B88" w:rsidP="00AB4D08">
      <w:pPr>
        <w:spacing w:after="0" w:line="240" w:lineRule="auto"/>
        <w:contextualSpacing/>
        <w:jc w:val="both"/>
        <w:rPr>
          <w:rFonts w:ascii="Times New Roman" w:hAnsi="Times New Roman"/>
          <w:sz w:val="24"/>
          <w:szCs w:val="24"/>
        </w:rPr>
      </w:pPr>
    </w:p>
    <w:p w14:paraId="30FCEFBB" w14:textId="77777777" w:rsidR="00904B88" w:rsidRDefault="00904B88" w:rsidP="00AB4D08">
      <w:pPr>
        <w:spacing w:after="0" w:line="240" w:lineRule="auto"/>
        <w:contextualSpacing/>
        <w:jc w:val="both"/>
        <w:rPr>
          <w:rFonts w:ascii="Times New Roman" w:hAnsi="Times New Roman"/>
          <w:sz w:val="24"/>
          <w:szCs w:val="24"/>
        </w:rPr>
      </w:pPr>
    </w:p>
    <w:p w14:paraId="72859F97" w14:textId="77777777" w:rsidR="00904B88" w:rsidRDefault="00904B88" w:rsidP="00AB4D08">
      <w:pPr>
        <w:spacing w:after="0" w:line="240" w:lineRule="auto"/>
        <w:contextualSpacing/>
        <w:jc w:val="both"/>
        <w:rPr>
          <w:rFonts w:ascii="Times New Roman" w:hAnsi="Times New Roman"/>
          <w:sz w:val="24"/>
          <w:szCs w:val="24"/>
        </w:rPr>
      </w:pPr>
    </w:p>
    <w:p w14:paraId="0B4848B6" w14:textId="77777777" w:rsidR="00904B88" w:rsidRDefault="00904B88" w:rsidP="00AB4D08">
      <w:pPr>
        <w:spacing w:after="0" w:line="240" w:lineRule="auto"/>
        <w:contextualSpacing/>
        <w:jc w:val="both"/>
        <w:rPr>
          <w:rFonts w:ascii="Times New Roman" w:hAnsi="Times New Roman"/>
          <w:sz w:val="24"/>
          <w:szCs w:val="24"/>
        </w:rPr>
      </w:pPr>
    </w:p>
    <w:p w14:paraId="6F1A3479" w14:textId="77777777" w:rsidR="00904B88" w:rsidRDefault="00904B88" w:rsidP="00AB4D08">
      <w:pPr>
        <w:spacing w:after="0" w:line="240" w:lineRule="auto"/>
        <w:contextualSpacing/>
        <w:jc w:val="both"/>
        <w:rPr>
          <w:rFonts w:ascii="Times New Roman" w:hAnsi="Times New Roman"/>
          <w:sz w:val="24"/>
          <w:szCs w:val="24"/>
        </w:rPr>
      </w:pPr>
    </w:p>
    <w:p w14:paraId="5B5BF54D" w14:textId="77777777" w:rsidR="00904B88" w:rsidRDefault="00904B88" w:rsidP="00AB4D08">
      <w:pPr>
        <w:spacing w:after="0" w:line="240" w:lineRule="auto"/>
        <w:contextualSpacing/>
        <w:jc w:val="both"/>
        <w:rPr>
          <w:rFonts w:ascii="Times New Roman" w:hAnsi="Times New Roman"/>
          <w:sz w:val="24"/>
          <w:szCs w:val="24"/>
        </w:rPr>
      </w:pPr>
    </w:p>
    <w:p w14:paraId="71DE61D0" w14:textId="77777777" w:rsidR="00904B88" w:rsidRDefault="00904B88" w:rsidP="00AB4D08">
      <w:pPr>
        <w:spacing w:after="0" w:line="240" w:lineRule="auto"/>
        <w:contextualSpacing/>
        <w:jc w:val="both"/>
        <w:rPr>
          <w:rFonts w:ascii="Times New Roman" w:hAnsi="Times New Roman"/>
          <w:sz w:val="24"/>
          <w:szCs w:val="24"/>
        </w:rPr>
      </w:pPr>
    </w:p>
    <w:p w14:paraId="7B5B5667" w14:textId="77777777" w:rsidR="00904B88" w:rsidRDefault="00904B88" w:rsidP="00AB4D08">
      <w:pPr>
        <w:spacing w:after="0" w:line="240" w:lineRule="auto"/>
        <w:contextualSpacing/>
        <w:jc w:val="both"/>
        <w:rPr>
          <w:rFonts w:ascii="Times New Roman" w:hAnsi="Times New Roman"/>
          <w:sz w:val="24"/>
          <w:szCs w:val="24"/>
        </w:rPr>
      </w:pPr>
    </w:p>
    <w:p w14:paraId="7A0EB8B5" w14:textId="77777777" w:rsidR="00904B88" w:rsidRDefault="00904B88" w:rsidP="00AB4D08">
      <w:pPr>
        <w:spacing w:after="0" w:line="240" w:lineRule="auto"/>
        <w:contextualSpacing/>
        <w:jc w:val="both"/>
        <w:rPr>
          <w:rFonts w:ascii="Times New Roman" w:hAnsi="Times New Roman"/>
          <w:sz w:val="24"/>
          <w:szCs w:val="24"/>
        </w:rPr>
      </w:pPr>
    </w:p>
    <w:p w14:paraId="21D0EB5F" w14:textId="77777777" w:rsidR="00904B88" w:rsidRDefault="00904B88" w:rsidP="00AB4D08">
      <w:pPr>
        <w:spacing w:after="0" w:line="240" w:lineRule="auto"/>
        <w:contextualSpacing/>
        <w:jc w:val="both"/>
        <w:rPr>
          <w:rFonts w:ascii="Times New Roman" w:hAnsi="Times New Roman"/>
          <w:sz w:val="24"/>
          <w:szCs w:val="24"/>
        </w:rPr>
      </w:pPr>
    </w:p>
    <w:p w14:paraId="66E2597A" w14:textId="77777777" w:rsidR="00904B88" w:rsidRDefault="00904B88" w:rsidP="00AB4D08">
      <w:pPr>
        <w:spacing w:after="0" w:line="240" w:lineRule="auto"/>
        <w:contextualSpacing/>
        <w:jc w:val="both"/>
        <w:rPr>
          <w:rFonts w:ascii="Times New Roman" w:hAnsi="Times New Roman"/>
          <w:sz w:val="24"/>
          <w:szCs w:val="24"/>
        </w:rPr>
      </w:pPr>
    </w:p>
    <w:p w14:paraId="4AA64619" w14:textId="45BFCAA2" w:rsidR="00914C16" w:rsidRDefault="00914C16"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lastRenderedPageBreak/>
        <w:t>Comparativo inversiones en administración de liquidez a costo amortizado</w:t>
      </w:r>
      <w:r w:rsidR="00256DAC">
        <w:rPr>
          <w:rFonts w:ascii="Times New Roman" w:hAnsi="Times New Roman"/>
          <w:sz w:val="24"/>
          <w:szCs w:val="24"/>
        </w:rPr>
        <w:t>:</w:t>
      </w:r>
    </w:p>
    <w:p w14:paraId="02E3EF4B" w14:textId="77777777" w:rsidR="00A102E6" w:rsidRDefault="00A102E6" w:rsidP="00AB4D08">
      <w:pPr>
        <w:spacing w:after="0" w:line="240" w:lineRule="auto"/>
        <w:contextualSpacing/>
        <w:jc w:val="both"/>
        <w:rPr>
          <w:rFonts w:ascii="Times New Roman" w:hAnsi="Times New Roman"/>
          <w:sz w:val="24"/>
          <w:szCs w:val="24"/>
        </w:rPr>
      </w:pPr>
    </w:p>
    <w:p w14:paraId="2681B46D" w14:textId="17C9C16B" w:rsidR="001F57FF" w:rsidRDefault="001F57FF" w:rsidP="00AB4D08">
      <w:pPr>
        <w:spacing w:after="0" w:line="240" w:lineRule="auto"/>
        <w:contextualSpacing/>
        <w:jc w:val="both"/>
        <w:rPr>
          <w:rFonts w:ascii="Times New Roman" w:hAnsi="Times New Roman"/>
          <w:sz w:val="24"/>
          <w:szCs w:val="24"/>
        </w:rPr>
      </w:pPr>
      <w:r>
        <w:rPr>
          <w:noProof/>
          <w:lang w:eastAsia="es-CO"/>
        </w:rPr>
        <w:drawing>
          <wp:inline distT="0" distB="0" distL="0" distR="0" wp14:anchorId="320DE231" wp14:editId="2BFCA6F5">
            <wp:extent cx="5581650" cy="5768909"/>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2753" cy="5770049"/>
                    </a:xfrm>
                    <a:prstGeom prst="rect">
                      <a:avLst/>
                    </a:prstGeom>
                  </pic:spPr>
                </pic:pic>
              </a:graphicData>
            </a:graphic>
          </wp:inline>
        </w:drawing>
      </w:r>
    </w:p>
    <w:p w14:paraId="741B3AA0" w14:textId="77777777" w:rsidR="00914C16" w:rsidRDefault="00914C16" w:rsidP="00AB4D08">
      <w:pPr>
        <w:spacing w:after="0" w:line="240" w:lineRule="auto"/>
        <w:ind w:left="567"/>
        <w:contextualSpacing/>
        <w:jc w:val="both"/>
        <w:rPr>
          <w:rFonts w:ascii="Times New Roman" w:hAnsi="Times New Roman"/>
          <w:sz w:val="24"/>
          <w:szCs w:val="24"/>
        </w:rPr>
      </w:pPr>
    </w:p>
    <w:p w14:paraId="0139732A" w14:textId="17674B59" w:rsidR="00914C16" w:rsidRPr="001A1E04" w:rsidRDefault="00914C16" w:rsidP="00AB4D08">
      <w:pPr>
        <w:spacing w:after="0" w:line="240" w:lineRule="auto"/>
        <w:ind w:left="567"/>
        <w:contextualSpacing/>
        <w:jc w:val="both"/>
        <w:rPr>
          <w:rFonts w:ascii="Times New Roman" w:hAnsi="Times New Roman"/>
          <w:sz w:val="24"/>
          <w:szCs w:val="24"/>
        </w:rPr>
      </w:pPr>
      <w:r w:rsidRPr="001A1E04">
        <w:rPr>
          <w:rFonts w:ascii="Times New Roman" w:hAnsi="Times New Roman"/>
          <w:sz w:val="24"/>
          <w:szCs w:val="24"/>
        </w:rPr>
        <w:t>En relación con el saldo a Diciembre de 2018, presenta un aumento del 29.66% por $218</w:t>
      </w:r>
      <w:r w:rsidR="005E0535">
        <w:rPr>
          <w:rFonts w:ascii="Times New Roman" w:hAnsi="Times New Roman"/>
          <w:sz w:val="24"/>
          <w:szCs w:val="24"/>
        </w:rPr>
        <w:t>.</w:t>
      </w:r>
      <w:r w:rsidRPr="001A1E04">
        <w:rPr>
          <w:rFonts w:ascii="Times New Roman" w:hAnsi="Times New Roman"/>
          <w:sz w:val="24"/>
          <w:szCs w:val="24"/>
        </w:rPr>
        <w:t>117</w:t>
      </w:r>
      <w:r w:rsidR="005E0535">
        <w:rPr>
          <w:rFonts w:ascii="Times New Roman" w:hAnsi="Times New Roman"/>
          <w:sz w:val="24"/>
          <w:szCs w:val="24"/>
        </w:rPr>
        <w:t>.</w:t>
      </w:r>
      <w:r w:rsidRPr="001A1E04">
        <w:rPr>
          <w:rFonts w:ascii="Times New Roman" w:hAnsi="Times New Roman"/>
          <w:sz w:val="24"/>
          <w:szCs w:val="24"/>
        </w:rPr>
        <w:t>775</w:t>
      </w:r>
      <w:r w:rsidR="005E0535">
        <w:rPr>
          <w:rFonts w:ascii="Times New Roman" w:hAnsi="Times New Roman"/>
          <w:sz w:val="24"/>
          <w:szCs w:val="24"/>
        </w:rPr>
        <w:t>.</w:t>
      </w:r>
      <w:r w:rsidRPr="001A1E04">
        <w:rPr>
          <w:rFonts w:ascii="Times New Roman" w:hAnsi="Times New Roman"/>
          <w:sz w:val="24"/>
          <w:szCs w:val="24"/>
        </w:rPr>
        <w:t>748</w:t>
      </w:r>
      <w:r w:rsidR="0065039A">
        <w:rPr>
          <w:rFonts w:ascii="Times New Roman" w:hAnsi="Times New Roman"/>
          <w:sz w:val="24"/>
          <w:szCs w:val="24"/>
        </w:rPr>
        <w:t xml:space="preserve">, la variación está representada principalmente por la </w:t>
      </w:r>
      <w:r w:rsidRPr="001A1E04">
        <w:rPr>
          <w:rFonts w:ascii="Times New Roman" w:hAnsi="Times New Roman"/>
          <w:sz w:val="24"/>
          <w:szCs w:val="24"/>
        </w:rPr>
        <w:t>constitu</w:t>
      </w:r>
      <w:r w:rsidR="0065039A">
        <w:rPr>
          <w:rFonts w:ascii="Times New Roman" w:hAnsi="Times New Roman"/>
          <w:sz w:val="24"/>
          <w:szCs w:val="24"/>
        </w:rPr>
        <w:t xml:space="preserve">ción de </w:t>
      </w:r>
      <w:r w:rsidRPr="001A1E04">
        <w:rPr>
          <w:rFonts w:ascii="Times New Roman" w:hAnsi="Times New Roman"/>
          <w:sz w:val="24"/>
          <w:szCs w:val="24"/>
        </w:rPr>
        <w:t xml:space="preserve"> CDTS con nuevas fuentes de recursos</w:t>
      </w:r>
      <w:r w:rsidR="0065039A">
        <w:rPr>
          <w:rFonts w:ascii="Times New Roman" w:hAnsi="Times New Roman"/>
          <w:sz w:val="24"/>
          <w:szCs w:val="24"/>
        </w:rPr>
        <w:t xml:space="preserve">, como </w:t>
      </w:r>
      <w:r w:rsidR="00A312BE">
        <w:rPr>
          <w:rFonts w:ascii="Times New Roman" w:hAnsi="Times New Roman"/>
          <w:sz w:val="24"/>
          <w:szCs w:val="24"/>
        </w:rPr>
        <w:t>a</w:t>
      </w:r>
      <w:r w:rsidRPr="001A1E04">
        <w:rPr>
          <w:rFonts w:ascii="Times New Roman" w:hAnsi="Times New Roman"/>
          <w:sz w:val="24"/>
          <w:szCs w:val="24"/>
        </w:rPr>
        <w:t>cuerdo 724 de 2018 por $279</w:t>
      </w:r>
      <w:r w:rsidR="005E0535">
        <w:rPr>
          <w:rFonts w:ascii="Times New Roman" w:hAnsi="Times New Roman"/>
          <w:sz w:val="24"/>
          <w:szCs w:val="24"/>
        </w:rPr>
        <w:t>.</w:t>
      </w:r>
      <w:r w:rsidRPr="001A1E04">
        <w:rPr>
          <w:rFonts w:ascii="Times New Roman" w:hAnsi="Times New Roman"/>
          <w:sz w:val="24"/>
          <w:szCs w:val="24"/>
        </w:rPr>
        <w:t>879</w:t>
      </w:r>
      <w:r w:rsidR="005E0535">
        <w:rPr>
          <w:rFonts w:ascii="Times New Roman" w:hAnsi="Times New Roman"/>
          <w:sz w:val="24"/>
          <w:szCs w:val="24"/>
        </w:rPr>
        <w:t>.</w:t>
      </w:r>
      <w:r w:rsidRPr="001A1E04">
        <w:rPr>
          <w:rFonts w:ascii="Times New Roman" w:hAnsi="Times New Roman"/>
          <w:sz w:val="24"/>
          <w:szCs w:val="24"/>
        </w:rPr>
        <w:t>295</w:t>
      </w:r>
      <w:r w:rsidR="005E0535">
        <w:rPr>
          <w:rFonts w:ascii="Times New Roman" w:hAnsi="Times New Roman"/>
          <w:sz w:val="24"/>
          <w:szCs w:val="24"/>
        </w:rPr>
        <w:t>.</w:t>
      </w:r>
      <w:r w:rsidRPr="001A1E04">
        <w:rPr>
          <w:rFonts w:ascii="Times New Roman" w:hAnsi="Times New Roman"/>
          <w:sz w:val="24"/>
          <w:szCs w:val="24"/>
        </w:rPr>
        <w:t xml:space="preserve">000 y </w:t>
      </w:r>
      <w:r w:rsidR="00A312BE">
        <w:rPr>
          <w:rFonts w:ascii="Times New Roman" w:hAnsi="Times New Roman"/>
          <w:sz w:val="24"/>
          <w:szCs w:val="24"/>
        </w:rPr>
        <w:t>f</w:t>
      </w:r>
      <w:r w:rsidRPr="001A1E04">
        <w:rPr>
          <w:rFonts w:ascii="Times New Roman" w:hAnsi="Times New Roman"/>
          <w:sz w:val="24"/>
          <w:szCs w:val="24"/>
        </w:rPr>
        <w:t xml:space="preserve">ondos de </w:t>
      </w:r>
      <w:r w:rsidR="00A312BE">
        <w:rPr>
          <w:rFonts w:ascii="Times New Roman" w:hAnsi="Times New Roman"/>
          <w:sz w:val="24"/>
          <w:szCs w:val="24"/>
        </w:rPr>
        <w:t>d</w:t>
      </w:r>
      <w:r w:rsidRPr="001A1E04">
        <w:rPr>
          <w:rFonts w:ascii="Times New Roman" w:hAnsi="Times New Roman"/>
          <w:sz w:val="24"/>
          <w:szCs w:val="24"/>
        </w:rPr>
        <w:t xml:space="preserve">esarrollo </w:t>
      </w:r>
      <w:r w:rsidR="00A312BE">
        <w:rPr>
          <w:rFonts w:ascii="Times New Roman" w:hAnsi="Times New Roman"/>
          <w:sz w:val="24"/>
          <w:szCs w:val="24"/>
        </w:rPr>
        <w:t>l</w:t>
      </w:r>
      <w:r w:rsidRPr="001A1E04">
        <w:rPr>
          <w:rFonts w:ascii="Times New Roman" w:hAnsi="Times New Roman"/>
          <w:sz w:val="24"/>
          <w:szCs w:val="24"/>
        </w:rPr>
        <w:t>ocal por $19</w:t>
      </w:r>
      <w:r w:rsidR="005E0535">
        <w:rPr>
          <w:rFonts w:ascii="Times New Roman" w:hAnsi="Times New Roman"/>
          <w:sz w:val="24"/>
          <w:szCs w:val="24"/>
        </w:rPr>
        <w:t>.</w:t>
      </w:r>
      <w:r w:rsidRPr="001A1E04">
        <w:rPr>
          <w:rFonts w:ascii="Times New Roman" w:hAnsi="Times New Roman"/>
          <w:sz w:val="24"/>
          <w:szCs w:val="24"/>
        </w:rPr>
        <w:t>057</w:t>
      </w:r>
      <w:r w:rsidR="005E0535">
        <w:rPr>
          <w:rFonts w:ascii="Times New Roman" w:hAnsi="Times New Roman"/>
          <w:sz w:val="24"/>
          <w:szCs w:val="24"/>
        </w:rPr>
        <w:t>.</w:t>
      </w:r>
      <w:r w:rsidRPr="001A1E04">
        <w:rPr>
          <w:rFonts w:ascii="Times New Roman" w:hAnsi="Times New Roman"/>
          <w:sz w:val="24"/>
          <w:szCs w:val="24"/>
        </w:rPr>
        <w:t>745</w:t>
      </w:r>
      <w:r w:rsidR="005E0535">
        <w:rPr>
          <w:rFonts w:ascii="Times New Roman" w:hAnsi="Times New Roman"/>
          <w:sz w:val="24"/>
          <w:szCs w:val="24"/>
        </w:rPr>
        <w:t>.</w:t>
      </w:r>
      <w:r w:rsidRPr="001A1E04">
        <w:rPr>
          <w:rFonts w:ascii="Times New Roman" w:hAnsi="Times New Roman"/>
          <w:sz w:val="24"/>
          <w:szCs w:val="24"/>
        </w:rPr>
        <w:t>000.</w:t>
      </w:r>
    </w:p>
    <w:p w14:paraId="0AD955C2" w14:textId="77777777" w:rsidR="00904B88" w:rsidRDefault="00904B88" w:rsidP="00AB4D08">
      <w:pPr>
        <w:spacing w:after="0" w:line="240" w:lineRule="auto"/>
        <w:ind w:left="567"/>
        <w:contextualSpacing/>
        <w:jc w:val="both"/>
        <w:rPr>
          <w:rFonts w:ascii="Times New Roman" w:hAnsi="Times New Roman"/>
          <w:sz w:val="24"/>
          <w:szCs w:val="24"/>
        </w:rPr>
      </w:pPr>
    </w:p>
    <w:p w14:paraId="22E9A6E6" w14:textId="32844775" w:rsidR="00A312BE" w:rsidRPr="00A312BE" w:rsidRDefault="00A312BE" w:rsidP="00AB4D08">
      <w:pPr>
        <w:pStyle w:val="Prrafodelista"/>
        <w:numPr>
          <w:ilvl w:val="0"/>
          <w:numId w:val="6"/>
        </w:numPr>
        <w:spacing w:line="240" w:lineRule="auto"/>
        <w:ind w:left="567" w:firstLine="0"/>
        <w:rPr>
          <w:rFonts w:ascii="Times New Roman" w:hAnsi="Times New Roman"/>
          <w:spacing w:val="-3"/>
          <w:sz w:val="24"/>
          <w:szCs w:val="24"/>
        </w:rPr>
      </w:pPr>
      <w:r w:rsidRPr="00A312BE">
        <w:rPr>
          <w:rFonts w:ascii="Times New Roman" w:hAnsi="Times New Roman"/>
          <w:spacing w:val="-3"/>
          <w:sz w:val="24"/>
          <w:szCs w:val="24"/>
        </w:rPr>
        <w:t>Reconocimiento de rendimientos</w:t>
      </w:r>
    </w:p>
    <w:p w14:paraId="78B47E1F" w14:textId="1FB2A7E5" w:rsidR="00A312BE" w:rsidRDefault="00A312BE" w:rsidP="00AB4D08">
      <w:pPr>
        <w:spacing w:line="240" w:lineRule="auto"/>
        <w:ind w:left="567"/>
        <w:contextualSpacing/>
        <w:jc w:val="both"/>
        <w:rPr>
          <w:rFonts w:ascii="Times New Roman" w:hAnsi="Times New Roman"/>
          <w:spacing w:val="-3"/>
          <w:sz w:val="24"/>
          <w:szCs w:val="24"/>
        </w:rPr>
      </w:pPr>
      <w:r w:rsidRPr="003A5FD3">
        <w:rPr>
          <w:rFonts w:ascii="Times New Roman" w:hAnsi="Times New Roman"/>
          <w:spacing w:val="-3"/>
          <w:sz w:val="24"/>
          <w:szCs w:val="24"/>
        </w:rPr>
        <w:t>Durante el periodo contable se reconocieron rendimientos por valor total de $37</w:t>
      </w:r>
      <w:r>
        <w:rPr>
          <w:rFonts w:ascii="Times New Roman" w:hAnsi="Times New Roman"/>
          <w:spacing w:val="-3"/>
          <w:sz w:val="24"/>
          <w:szCs w:val="24"/>
        </w:rPr>
        <w:t>.</w:t>
      </w:r>
      <w:r w:rsidRPr="003A5FD3">
        <w:rPr>
          <w:rFonts w:ascii="Times New Roman" w:hAnsi="Times New Roman"/>
          <w:spacing w:val="-3"/>
          <w:sz w:val="24"/>
          <w:szCs w:val="24"/>
        </w:rPr>
        <w:t>407</w:t>
      </w:r>
      <w:r>
        <w:rPr>
          <w:rFonts w:ascii="Times New Roman" w:hAnsi="Times New Roman"/>
          <w:spacing w:val="-3"/>
          <w:sz w:val="24"/>
          <w:szCs w:val="24"/>
        </w:rPr>
        <w:t>.</w:t>
      </w:r>
      <w:r w:rsidRPr="003A5FD3">
        <w:rPr>
          <w:rFonts w:ascii="Times New Roman" w:hAnsi="Times New Roman"/>
          <w:spacing w:val="-3"/>
          <w:sz w:val="24"/>
          <w:szCs w:val="24"/>
        </w:rPr>
        <w:t>283</w:t>
      </w:r>
      <w:r>
        <w:rPr>
          <w:rFonts w:ascii="Times New Roman" w:hAnsi="Times New Roman"/>
          <w:spacing w:val="-3"/>
          <w:sz w:val="24"/>
          <w:szCs w:val="24"/>
        </w:rPr>
        <w:t>.</w:t>
      </w:r>
      <w:r w:rsidRPr="003A5FD3">
        <w:rPr>
          <w:rFonts w:ascii="Times New Roman" w:hAnsi="Times New Roman"/>
          <w:spacing w:val="-3"/>
          <w:sz w:val="24"/>
          <w:szCs w:val="24"/>
        </w:rPr>
        <w:t>859</w:t>
      </w:r>
      <w:r>
        <w:rPr>
          <w:rFonts w:ascii="Times New Roman" w:hAnsi="Times New Roman"/>
          <w:spacing w:val="-3"/>
          <w:sz w:val="24"/>
          <w:szCs w:val="24"/>
        </w:rPr>
        <w:t xml:space="preserve">, de los cuales $26.285.745.879 corresponde a los rendimientos generados por las inversiones dadas de baja durante la vigencia 2019 y </w:t>
      </w:r>
      <w:r w:rsidRPr="00C73317">
        <w:rPr>
          <w:rFonts w:ascii="Times New Roman" w:hAnsi="Times New Roman"/>
          <w:spacing w:val="-3"/>
          <w:sz w:val="24"/>
          <w:szCs w:val="24"/>
        </w:rPr>
        <w:t>$11</w:t>
      </w:r>
      <w:r>
        <w:rPr>
          <w:rFonts w:ascii="Times New Roman" w:hAnsi="Times New Roman"/>
          <w:spacing w:val="-3"/>
          <w:sz w:val="24"/>
          <w:szCs w:val="24"/>
        </w:rPr>
        <w:t>.</w:t>
      </w:r>
      <w:r w:rsidRPr="00C73317">
        <w:rPr>
          <w:rFonts w:ascii="Times New Roman" w:hAnsi="Times New Roman"/>
          <w:spacing w:val="-3"/>
          <w:sz w:val="24"/>
          <w:szCs w:val="24"/>
        </w:rPr>
        <w:t>121</w:t>
      </w:r>
      <w:r>
        <w:rPr>
          <w:rFonts w:ascii="Times New Roman" w:hAnsi="Times New Roman"/>
          <w:spacing w:val="-3"/>
          <w:sz w:val="24"/>
          <w:szCs w:val="24"/>
        </w:rPr>
        <w:t>.</w:t>
      </w:r>
      <w:r w:rsidRPr="00C73317">
        <w:rPr>
          <w:rFonts w:ascii="Times New Roman" w:hAnsi="Times New Roman"/>
          <w:spacing w:val="-3"/>
          <w:sz w:val="24"/>
          <w:szCs w:val="24"/>
        </w:rPr>
        <w:t>537</w:t>
      </w:r>
      <w:r>
        <w:rPr>
          <w:rFonts w:ascii="Times New Roman" w:hAnsi="Times New Roman"/>
          <w:spacing w:val="-3"/>
          <w:sz w:val="24"/>
          <w:szCs w:val="24"/>
        </w:rPr>
        <w:t>.</w:t>
      </w:r>
      <w:r w:rsidRPr="00C73317">
        <w:rPr>
          <w:rFonts w:ascii="Times New Roman" w:hAnsi="Times New Roman"/>
          <w:spacing w:val="-3"/>
          <w:sz w:val="24"/>
          <w:szCs w:val="24"/>
        </w:rPr>
        <w:t>980</w:t>
      </w:r>
      <w:r>
        <w:rPr>
          <w:rFonts w:ascii="Times New Roman" w:hAnsi="Times New Roman"/>
          <w:spacing w:val="-3"/>
          <w:sz w:val="24"/>
          <w:szCs w:val="24"/>
        </w:rPr>
        <w:t xml:space="preserve"> representan </w:t>
      </w:r>
      <w:r w:rsidRPr="00C73317">
        <w:rPr>
          <w:rFonts w:ascii="Times New Roman" w:hAnsi="Times New Roman"/>
          <w:spacing w:val="-3"/>
          <w:sz w:val="24"/>
          <w:szCs w:val="24"/>
        </w:rPr>
        <w:t xml:space="preserve">los </w:t>
      </w:r>
      <w:r w:rsidRPr="00C73317">
        <w:rPr>
          <w:rFonts w:ascii="Times New Roman" w:hAnsi="Times New Roman"/>
          <w:spacing w:val="-3"/>
          <w:sz w:val="24"/>
          <w:szCs w:val="24"/>
        </w:rPr>
        <w:lastRenderedPageBreak/>
        <w:t>rendimientos de las inversiones mantenidas al final del periodo</w:t>
      </w:r>
      <w:r>
        <w:rPr>
          <w:rFonts w:ascii="Times New Roman" w:hAnsi="Times New Roman"/>
          <w:spacing w:val="-3"/>
          <w:sz w:val="24"/>
          <w:szCs w:val="24"/>
        </w:rPr>
        <w:t>, teniendo la mayor participación los rendimientos de los  CDTS constituidos con fuente de recursos Acuerdo 523/13, Cargas urbanísticas y Acuerdo 724/18, como se detalla a continuación:</w:t>
      </w:r>
    </w:p>
    <w:p w14:paraId="23DFC8EC" w14:textId="77777777" w:rsidR="00A312BE" w:rsidRDefault="00A312BE" w:rsidP="00AB4D08">
      <w:pPr>
        <w:spacing w:line="240" w:lineRule="auto"/>
        <w:contextualSpacing/>
        <w:jc w:val="both"/>
        <w:rPr>
          <w:rFonts w:ascii="Times New Roman" w:hAnsi="Times New Roman"/>
          <w:spacing w:val="-3"/>
          <w:sz w:val="24"/>
          <w:szCs w:val="24"/>
        </w:rPr>
      </w:pPr>
    </w:p>
    <w:p w14:paraId="08CE649A" w14:textId="5E6D04F5" w:rsidR="004E65FE" w:rsidRDefault="004E65FE" w:rsidP="00AB4D08">
      <w:pPr>
        <w:spacing w:line="240" w:lineRule="auto"/>
        <w:contextualSpacing/>
        <w:jc w:val="both"/>
        <w:rPr>
          <w:rFonts w:ascii="Times New Roman" w:hAnsi="Times New Roman"/>
          <w:spacing w:val="-3"/>
          <w:sz w:val="24"/>
          <w:szCs w:val="24"/>
        </w:rPr>
      </w:pPr>
      <w:r>
        <w:rPr>
          <w:noProof/>
          <w:lang w:eastAsia="es-CO"/>
        </w:rPr>
        <w:drawing>
          <wp:inline distT="0" distB="0" distL="0" distR="0" wp14:anchorId="17641149" wp14:editId="6C7F9DC9">
            <wp:extent cx="3721100" cy="3219989"/>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1371" cy="3228876"/>
                    </a:xfrm>
                    <a:prstGeom prst="rect">
                      <a:avLst/>
                    </a:prstGeom>
                  </pic:spPr>
                </pic:pic>
              </a:graphicData>
            </a:graphic>
          </wp:inline>
        </w:drawing>
      </w:r>
    </w:p>
    <w:p w14:paraId="238F9F53" w14:textId="77777777" w:rsidR="00256DAC" w:rsidRDefault="00256DAC" w:rsidP="00AB4D08">
      <w:pPr>
        <w:spacing w:line="240" w:lineRule="auto"/>
        <w:contextualSpacing/>
        <w:jc w:val="both"/>
        <w:rPr>
          <w:rFonts w:ascii="Times New Roman" w:hAnsi="Times New Roman"/>
          <w:spacing w:val="-3"/>
          <w:sz w:val="24"/>
          <w:szCs w:val="24"/>
        </w:rPr>
      </w:pPr>
    </w:p>
    <w:p w14:paraId="73195BD4" w14:textId="30F1EAC9" w:rsidR="001454BC" w:rsidRDefault="001454BC" w:rsidP="00AB4D08">
      <w:pPr>
        <w:spacing w:line="240" w:lineRule="auto"/>
        <w:ind w:left="567"/>
        <w:contextualSpacing/>
        <w:jc w:val="both"/>
        <w:rPr>
          <w:rFonts w:ascii="Times New Roman" w:hAnsi="Times New Roman"/>
          <w:spacing w:val="-3"/>
          <w:sz w:val="24"/>
          <w:szCs w:val="24"/>
        </w:rPr>
      </w:pPr>
      <w:r>
        <w:rPr>
          <w:rFonts w:ascii="Times New Roman" w:hAnsi="Times New Roman"/>
          <w:spacing w:val="-3"/>
          <w:sz w:val="24"/>
          <w:szCs w:val="24"/>
        </w:rPr>
        <w:t xml:space="preserve">Detalle de los rendimientos acumulados con corte a </w:t>
      </w:r>
      <w:r w:rsidR="00256DAC">
        <w:rPr>
          <w:rFonts w:ascii="Times New Roman" w:hAnsi="Times New Roman"/>
          <w:spacing w:val="-3"/>
          <w:sz w:val="24"/>
          <w:szCs w:val="24"/>
        </w:rPr>
        <w:t>31 de diciembre de</w:t>
      </w:r>
      <w:r>
        <w:rPr>
          <w:rFonts w:ascii="Times New Roman" w:hAnsi="Times New Roman"/>
          <w:spacing w:val="-3"/>
          <w:sz w:val="24"/>
          <w:szCs w:val="24"/>
        </w:rPr>
        <w:t xml:space="preserve"> 2019</w:t>
      </w:r>
      <w:r w:rsidR="00256DAC">
        <w:rPr>
          <w:rFonts w:ascii="Times New Roman" w:hAnsi="Times New Roman"/>
          <w:spacing w:val="-3"/>
          <w:sz w:val="24"/>
          <w:szCs w:val="24"/>
        </w:rPr>
        <w:t>:</w:t>
      </w:r>
    </w:p>
    <w:p w14:paraId="6B8876ED" w14:textId="2180F152" w:rsidR="004E65FE" w:rsidRDefault="004E65FE" w:rsidP="00AB4D08">
      <w:pPr>
        <w:spacing w:line="240" w:lineRule="auto"/>
        <w:ind w:left="567"/>
        <w:contextualSpacing/>
        <w:jc w:val="both"/>
        <w:rPr>
          <w:rFonts w:ascii="Times New Roman" w:hAnsi="Times New Roman"/>
          <w:spacing w:val="-3"/>
          <w:sz w:val="24"/>
          <w:szCs w:val="24"/>
        </w:rPr>
      </w:pPr>
    </w:p>
    <w:p w14:paraId="08C411A1" w14:textId="466F44CD" w:rsidR="00327557" w:rsidRDefault="00CA477E" w:rsidP="00AB4D08">
      <w:pPr>
        <w:spacing w:line="240" w:lineRule="auto"/>
        <w:ind w:left="567"/>
        <w:contextualSpacing/>
        <w:jc w:val="both"/>
        <w:rPr>
          <w:rFonts w:ascii="Times New Roman" w:hAnsi="Times New Roman"/>
          <w:spacing w:val="-3"/>
          <w:sz w:val="24"/>
          <w:szCs w:val="24"/>
        </w:rPr>
      </w:pPr>
      <w:r>
        <w:rPr>
          <w:noProof/>
          <w:lang w:eastAsia="es-CO"/>
        </w:rPr>
        <w:drawing>
          <wp:anchor distT="0" distB="0" distL="114300" distR="114300" simplePos="0" relativeHeight="251677696" behindDoc="0" locked="0" layoutInCell="1" allowOverlap="1" wp14:anchorId="12B3C355" wp14:editId="6B6C9796">
            <wp:simplePos x="0" y="0"/>
            <wp:positionH relativeFrom="column">
              <wp:posOffset>-86360</wp:posOffset>
            </wp:positionH>
            <wp:positionV relativeFrom="paragraph">
              <wp:posOffset>2540</wp:posOffset>
            </wp:positionV>
            <wp:extent cx="5478145" cy="3140710"/>
            <wp:effectExtent l="0" t="0" r="8255" b="254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78145" cy="3140710"/>
                    </a:xfrm>
                    <a:prstGeom prst="rect">
                      <a:avLst/>
                    </a:prstGeom>
                  </pic:spPr>
                </pic:pic>
              </a:graphicData>
            </a:graphic>
            <wp14:sizeRelH relativeFrom="margin">
              <wp14:pctWidth>0</wp14:pctWidth>
            </wp14:sizeRelH>
            <wp14:sizeRelV relativeFrom="margin">
              <wp14:pctHeight>0</wp14:pctHeight>
            </wp14:sizeRelV>
          </wp:anchor>
        </w:drawing>
      </w:r>
    </w:p>
    <w:p w14:paraId="64E5041C" w14:textId="77777777" w:rsidR="00327557" w:rsidRDefault="00327557" w:rsidP="00AB4D08">
      <w:pPr>
        <w:spacing w:line="240" w:lineRule="auto"/>
        <w:ind w:left="567"/>
        <w:contextualSpacing/>
        <w:jc w:val="both"/>
        <w:rPr>
          <w:rFonts w:ascii="Times New Roman" w:hAnsi="Times New Roman"/>
          <w:spacing w:val="-3"/>
          <w:sz w:val="24"/>
          <w:szCs w:val="24"/>
        </w:rPr>
      </w:pPr>
    </w:p>
    <w:p w14:paraId="40DB8FF9" w14:textId="77777777" w:rsidR="00327557" w:rsidRDefault="00327557" w:rsidP="00AB4D08">
      <w:pPr>
        <w:spacing w:line="240" w:lineRule="auto"/>
        <w:ind w:left="567"/>
        <w:contextualSpacing/>
        <w:jc w:val="both"/>
        <w:rPr>
          <w:rFonts w:ascii="Times New Roman" w:hAnsi="Times New Roman"/>
          <w:spacing w:val="-3"/>
          <w:sz w:val="24"/>
          <w:szCs w:val="24"/>
        </w:rPr>
      </w:pPr>
    </w:p>
    <w:p w14:paraId="422F0937" w14:textId="77777777" w:rsidR="00327557" w:rsidRDefault="00327557" w:rsidP="00AB4D08">
      <w:pPr>
        <w:spacing w:line="240" w:lineRule="auto"/>
        <w:ind w:left="567"/>
        <w:contextualSpacing/>
        <w:jc w:val="both"/>
        <w:rPr>
          <w:rFonts w:ascii="Times New Roman" w:hAnsi="Times New Roman"/>
          <w:spacing w:val="-3"/>
          <w:sz w:val="24"/>
          <w:szCs w:val="24"/>
        </w:rPr>
      </w:pPr>
    </w:p>
    <w:p w14:paraId="218160F1" w14:textId="77777777" w:rsidR="00327557" w:rsidRDefault="00327557" w:rsidP="00AB4D08">
      <w:pPr>
        <w:spacing w:line="240" w:lineRule="auto"/>
        <w:ind w:left="567"/>
        <w:contextualSpacing/>
        <w:jc w:val="both"/>
        <w:rPr>
          <w:rFonts w:ascii="Times New Roman" w:hAnsi="Times New Roman"/>
          <w:spacing w:val="-3"/>
          <w:sz w:val="24"/>
          <w:szCs w:val="24"/>
        </w:rPr>
      </w:pPr>
    </w:p>
    <w:p w14:paraId="7B70CED8" w14:textId="77777777" w:rsidR="00327557" w:rsidRDefault="00327557" w:rsidP="00AB4D08">
      <w:pPr>
        <w:spacing w:line="240" w:lineRule="auto"/>
        <w:ind w:left="567"/>
        <w:contextualSpacing/>
        <w:jc w:val="both"/>
        <w:rPr>
          <w:rFonts w:ascii="Times New Roman" w:hAnsi="Times New Roman"/>
          <w:spacing w:val="-3"/>
          <w:sz w:val="24"/>
          <w:szCs w:val="24"/>
        </w:rPr>
      </w:pPr>
    </w:p>
    <w:p w14:paraId="31BC37BF" w14:textId="77777777" w:rsidR="00327557" w:rsidRDefault="00327557" w:rsidP="00AB4D08">
      <w:pPr>
        <w:spacing w:line="240" w:lineRule="auto"/>
        <w:ind w:left="567"/>
        <w:contextualSpacing/>
        <w:jc w:val="both"/>
        <w:rPr>
          <w:rFonts w:ascii="Times New Roman" w:hAnsi="Times New Roman"/>
          <w:spacing w:val="-3"/>
          <w:sz w:val="24"/>
          <w:szCs w:val="24"/>
        </w:rPr>
      </w:pPr>
    </w:p>
    <w:p w14:paraId="1CB356DB" w14:textId="77777777" w:rsidR="00327557" w:rsidRDefault="00327557" w:rsidP="00AB4D08">
      <w:pPr>
        <w:spacing w:line="240" w:lineRule="auto"/>
        <w:ind w:left="567"/>
        <w:contextualSpacing/>
        <w:jc w:val="both"/>
        <w:rPr>
          <w:rFonts w:ascii="Times New Roman" w:hAnsi="Times New Roman"/>
          <w:spacing w:val="-3"/>
          <w:sz w:val="24"/>
          <w:szCs w:val="24"/>
        </w:rPr>
      </w:pPr>
    </w:p>
    <w:p w14:paraId="2717D971" w14:textId="77777777" w:rsidR="00327557" w:rsidRDefault="00327557" w:rsidP="00AB4D08">
      <w:pPr>
        <w:spacing w:line="240" w:lineRule="auto"/>
        <w:ind w:left="567"/>
        <w:contextualSpacing/>
        <w:jc w:val="both"/>
        <w:rPr>
          <w:rFonts w:ascii="Times New Roman" w:hAnsi="Times New Roman"/>
          <w:spacing w:val="-3"/>
          <w:sz w:val="24"/>
          <w:szCs w:val="24"/>
        </w:rPr>
      </w:pPr>
    </w:p>
    <w:p w14:paraId="58FD7B46" w14:textId="77777777" w:rsidR="00327557" w:rsidRDefault="00327557" w:rsidP="00AB4D08">
      <w:pPr>
        <w:spacing w:line="240" w:lineRule="auto"/>
        <w:ind w:left="567"/>
        <w:contextualSpacing/>
        <w:jc w:val="both"/>
        <w:rPr>
          <w:rFonts w:ascii="Times New Roman" w:hAnsi="Times New Roman"/>
          <w:spacing w:val="-3"/>
          <w:sz w:val="24"/>
          <w:szCs w:val="24"/>
        </w:rPr>
      </w:pPr>
    </w:p>
    <w:p w14:paraId="0F6F0140" w14:textId="77777777" w:rsidR="00327557" w:rsidRDefault="00327557" w:rsidP="00AB4D08">
      <w:pPr>
        <w:spacing w:line="240" w:lineRule="auto"/>
        <w:ind w:left="567"/>
        <w:contextualSpacing/>
        <w:jc w:val="both"/>
        <w:rPr>
          <w:rFonts w:ascii="Times New Roman" w:hAnsi="Times New Roman"/>
          <w:spacing w:val="-3"/>
          <w:sz w:val="24"/>
          <w:szCs w:val="24"/>
        </w:rPr>
      </w:pPr>
    </w:p>
    <w:p w14:paraId="308FBF68" w14:textId="77777777" w:rsidR="00327557" w:rsidRDefault="00327557" w:rsidP="00AB4D08">
      <w:pPr>
        <w:spacing w:line="240" w:lineRule="auto"/>
        <w:ind w:left="567"/>
        <w:contextualSpacing/>
        <w:jc w:val="both"/>
        <w:rPr>
          <w:rFonts w:ascii="Times New Roman" w:hAnsi="Times New Roman"/>
          <w:spacing w:val="-3"/>
          <w:sz w:val="24"/>
          <w:szCs w:val="24"/>
        </w:rPr>
      </w:pPr>
    </w:p>
    <w:p w14:paraId="15AEB361" w14:textId="77777777" w:rsidR="00327557" w:rsidRDefault="00327557" w:rsidP="00AB4D08">
      <w:pPr>
        <w:spacing w:line="240" w:lineRule="auto"/>
        <w:ind w:left="567"/>
        <w:contextualSpacing/>
        <w:jc w:val="both"/>
        <w:rPr>
          <w:rFonts w:ascii="Times New Roman" w:hAnsi="Times New Roman"/>
          <w:spacing w:val="-3"/>
          <w:sz w:val="24"/>
          <w:szCs w:val="24"/>
        </w:rPr>
      </w:pPr>
    </w:p>
    <w:p w14:paraId="6A24455C" w14:textId="77777777" w:rsidR="00327557" w:rsidRDefault="00327557" w:rsidP="00AB4D08">
      <w:pPr>
        <w:spacing w:line="240" w:lineRule="auto"/>
        <w:ind w:left="567"/>
        <w:contextualSpacing/>
        <w:jc w:val="both"/>
        <w:rPr>
          <w:rFonts w:ascii="Times New Roman" w:hAnsi="Times New Roman"/>
          <w:spacing w:val="-3"/>
          <w:sz w:val="24"/>
          <w:szCs w:val="24"/>
        </w:rPr>
      </w:pPr>
    </w:p>
    <w:p w14:paraId="0C85D250" w14:textId="77777777" w:rsidR="00327557" w:rsidRDefault="00327557" w:rsidP="00AB4D08">
      <w:pPr>
        <w:spacing w:line="240" w:lineRule="auto"/>
        <w:ind w:left="567"/>
        <w:contextualSpacing/>
        <w:jc w:val="both"/>
        <w:rPr>
          <w:rFonts w:ascii="Times New Roman" w:hAnsi="Times New Roman"/>
          <w:spacing w:val="-3"/>
          <w:sz w:val="24"/>
          <w:szCs w:val="24"/>
        </w:rPr>
      </w:pPr>
    </w:p>
    <w:p w14:paraId="04E1EC28" w14:textId="77777777" w:rsidR="00327557" w:rsidRDefault="00327557" w:rsidP="00AB4D08">
      <w:pPr>
        <w:spacing w:line="240" w:lineRule="auto"/>
        <w:ind w:left="567"/>
        <w:contextualSpacing/>
        <w:jc w:val="both"/>
        <w:rPr>
          <w:rFonts w:ascii="Times New Roman" w:hAnsi="Times New Roman"/>
          <w:spacing w:val="-3"/>
          <w:sz w:val="24"/>
          <w:szCs w:val="24"/>
        </w:rPr>
      </w:pPr>
    </w:p>
    <w:p w14:paraId="6A2D6AA2" w14:textId="77777777" w:rsidR="00327557" w:rsidRDefault="00327557" w:rsidP="00AB4D08">
      <w:pPr>
        <w:spacing w:line="240" w:lineRule="auto"/>
        <w:ind w:left="567"/>
        <w:contextualSpacing/>
        <w:jc w:val="both"/>
        <w:rPr>
          <w:rFonts w:ascii="Times New Roman" w:hAnsi="Times New Roman"/>
          <w:spacing w:val="-3"/>
          <w:sz w:val="24"/>
          <w:szCs w:val="24"/>
        </w:rPr>
      </w:pPr>
    </w:p>
    <w:p w14:paraId="6B60BA37" w14:textId="77777777" w:rsidR="00327557" w:rsidRDefault="00327557" w:rsidP="00AB4D08">
      <w:pPr>
        <w:spacing w:line="240" w:lineRule="auto"/>
        <w:ind w:left="567"/>
        <w:contextualSpacing/>
        <w:jc w:val="both"/>
        <w:rPr>
          <w:rFonts w:ascii="Times New Roman" w:hAnsi="Times New Roman"/>
          <w:spacing w:val="-3"/>
          <w:sz w:val="24"/>
          <w:szCs w:val="24"/>
        </w:rPr>
      </w:pPr>
    </w:p>
    <w:p w14:paraId="7B797D3F" w14:textId="465AABA9" w:rsidR="000E1E0D" w:rsidRDefault="000E1E0D" w:rsidP="00AB4D08">
      <w:pPr>
        <w:spacing w:line="240" w:lineRule="auto"/>
        <w:ind w:left="567"/>
        <w:contextualSpacing/>
        <w:jc w:val="both"/>
        <w:rPr>
          <w:rFonts w:ascii="Times New Roman" w:hAnsi="Times New Roman"/>
          <w:spacing w:val="-3"/>
          <w:sz w:val="24"/>
          <w:szCs w:val="24"/>
        </w:rPr>
      </w:pPr>
      <w:r>
        <w:rPr>
          <w:rFonts w:ascii="Times New Roman" w:hAnsi="Times New Roman"/>
          <w:spacing w:val="-3"/>
          <w:sz w:val="24"/>
          <w:szCs w:val="24"/>
        </w:rPr>
        <w:lastRenderedPageBreak/>
        <w:t xml:space="preserve">La participación de los rendimientos acumulados durante la vigencia 2019, están representados principalmente </w:t>
      </w:r>
      <w:r w:rsidRPr="003A5FD3">
        <w:rPr>
          <w:rFonts w:ascii="Times New Roman" w:hAnsi="Times New Roman"/>
          <w:spacing w:val="-3"/>
          <w:sz w:val="24"/>
          <w:szCs w:val="24"/>
        </w:rPr>
        <w:t>en</w:t>
      </w:r>
      <w:r>
        <w:rPr>
          <w:rFonts w:ascii="Times New Roman" w:hAnsi="Times New Roman"/>
          <w:spacing w:val="-3"/>
          <w:sz w:val="24"/>
          <w:szCs w:val="24"/>
        </w:rPr>
        <w:t xml:space="preserve"> los CDTS constituidos con las siguientes fuentes de recursos:</w:t>
      </w:r>
    </w:p>
    <w:p w14:paraId="43330FE0" w14:textId="77777777" w:rsidR="00C53F73" w:rsidRPr="003A5FD3" w:rsidRDefault="00C53F73" w:rsidP="00AB4D08">
      <w:pPr>
        <w:spacing w:line="240" w:lineRule="auto"/>
        <w:ind w:left="567"/>
        <w:contextualSpacing/>
        <w:jc w:val="both"/>
        <w:rPr>
          <w:rFonts w:ascii="Times New Roman" w:hAnsi="Times New Roman"/>
          <w:spacing w:val="-3"/>
          <w:sz w:val="24"/>
          <w:szCs w:val="24"/>
        </w:rPr>
      </w:pPr>
    </w:p>
    <w:p w14:paraId="6FEE06A9" w14:textId="70E85F69" w:rsidR="00904B88" w:rsidRDefault="0065039A" w:rsidP="00AB4D08">
      <w:pPr>
        <w:spacing w:after="0" w:line="240" w:lineRule="auto"/>
        <w:ind w:left="567"/>
        <w:contextualSpacing/>
        <w:jc w:val="both"/>
        <w:rPr>
          <w:rFonts w:ascii="Times New Roman" w:hAnsi="Times New Roman"/>
          <w:sz w:val="24"/>
          <w:szCs w:val="24"/>
        </w:rPr>
      </w:pPr>
      <w:r w:rsidRPr="0065039A">
        <w:rPr>
          <w:noProof/>
          <w:lang w:eastAsia="es-CO"/>
        </w:rPr>
        <w:drawing>
          <wp:inline distT="0" distB="0" distL="0" distR="0" wp14:anchorId="34E81091" wp14:editId="35BB6397">
            <wp:extent cx="3943350" cy="7715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771525"/>
                    </a:xfrm>
                    <a:prstGeom prst="rect">
                      <a:avLst/>
                    </a:prstGeom>
                    <a:noFill/>
                    <a:ln>
                      <a:noFill/>
                    </a:ln>
                  </pic:spPr>
                </pic:pic>
              </a:graphicData>
            </a:graphic>
          </wp:inline>
        </w:drawing>
      </w:r>
    </w:p>
    <w:p w14:paraId="1F208DCA" w14:textId="77777777" w:rsidR="008A617D" w:rsidRDefault="008A617D" w:rsidP="00AB4D08">
      <w:pPr>
        <w:spacing w:after="0" w:line="240" w:lineRule="auto"/>
        <w:ind w:left="567"/>
        <w:contextualSpacing/>
        <w:jc w:val="both"/>
        <w:rPr>
          <w:rFonts w:ascii="Times New Roman" w:hAnsi="Times New Roman"/>
          <w:sz w:val="24"/>
          <w:szCs w:val="24"/>
        </w:rPr>
      </w:pPr>
    </w:p>
    <w:p w14:paraId="61ED3A5D" w14:textId="3DDF0DA9" w:rsidR="001E31E1" w:rsidRDefault="001E31E1" w:rsidP="00AB4D08">
      <w:pPr>
        <w:spacing w:line="240" w:lineRule="auto"/>
        <w:contextualSpacing/>
        <w:jc w:val="both"/>
        <w:rPr>
          <w:rFonts w:ascii="Times New Roman" w:hAnsi="Times New Roman"/>
          <w:spacing w:val="-3"/>
          <w:sz w:val="24"/>
          <w:szCs w:val="24"/>
        </w:rPr>
      </w:pPr>
      <w:r>
        <w:rPr>
          <w:rFonts w:ascii="Times New Roman" w:hAnsi="Times New Roman"/>
          <w:spacing w:val="-3"/>
          <w:sz w:val="24"/>
          <w:szCs w:val="24"/>
        </w:rPr>
        <w:t>El valor de l</w:t>
      </w:r>
      <w:r w:rsidRPr="004A1E72">
        <w:rPr>
          <w:rFonts w:ascii="Times New Roman" w:hAnsi="Times New Roman"/>
          <w:spacing w:val="-3"/>
          <w:sz w:val="24"/>
          <w:szCs w:val="24"/>
        </w:rPr>
        <w:t>os rendimientos</w:t>
      </w:r>
      <w:r>
        <w:rPr>
          <w:rFonts w:ascii="Times New Roman" w:hAnsi="Times New Roman"/>
          <w:spacing w:val="-3"/>
          <w:sz w:val="24"/>
          <w:szCs w:val="24"/>
        </w:rPr>
        <w:t xml:space="preserve"> acumulados </w:t>
      </w:r>
      <w:r w:rsidRPr="004A1E72">
        <w:rPr>
          <w:rFonts w:ascii="Times New Roman" w:hAnsi="Times New Roman"/>
          <w:spacing w:val="-3"/>
          <w:sz w:val="24"/>
          <w:szCs w:val="24"/>
        </w:rPr>
        <w:t xml:space="preserve">a </w:t>
      </w:r>
      <w:r>
        <w:rPr>
          <w:rFonts w:ascii="Times New Roman" w:hAnsi="Times New Roman"/>
          <w:spacing w:val="-3"/>
          <w:sz w:val="24"/>
          <w:szCs w:val="24"/>
        </w:rPr>
        <w:t>d</w:t>
      </w:r>
      <w:r w:rsidRPr="004A1E72">
        <w:rPr>
          <w:rFonts w:ascii="Times New Roman" w:hAnsi="Times New Roman"/>
          <w:spacing w:val="-3"/>
          <w:sz w:val="24"/>
          <w:szCs w:val="24"/>
        </w:rPr>
        <w:t>iciembre 31 de 2019,  presenta una disminución de 1,57%</w:t>
      </w:r>
      <w:r>
        <w:rPr>
          <w:rFonts w:ascii="Times New Roman" w:hAnsi="Times New Roman"/>
          <w:spacing w:val="-3"/>
          <w:sz w:val="24"/>
          <w:szCs w:val="24"/>
        </w:rPr>
        <w:t>,</w:t>
      </w:r>
      <w:r w:rsidRPr="004A1E72">
        <w:rPr>
          <w:rFonts w:ascii="Times New Roman" w:hAnsi="Times New Roman"/>
          <w:spacing w:val="-3"/>
          <w:sz w:val="24"/>
          <w:szCs w:val="24"/>
        </w:rPr>
        <w:t xml:space="preserve"> frente a los rendimientos </w:t>
      </w:r>
      <w:r>
        <w:rPr>
          <w:rFonts w:ascii="Times New Roman" w:hAnsi="Times New Roman"/>
          <w:spacing w:val="-3"/>
          <w:sz w:val="24"/>
          <w:szCs w:val="24"/>
        </w:rPr>
        <w:t>acumulados con corte a diciembre 31 d</w:t>
      </w:r>
      <w:r w:rsidRPr="004A1E72">
        <w:rPr>
          <w:rFonts w:ascii="Times New Roman" w:hAnsi="Times New Roman"/>
          <w:spacing w:val="-3"/>
          <w:sz w:val="24"/>
          <w:szCs w:val="24"/>
        </w:rPr>
        <w:t>e 2018.</w:t>
      </w:r>
    </w:p>
    <w:p w14:paraId="0EAA6CE4" w14:textId="77777777" w:rsidR="00BC3899" w:rsidRDefault="00BC3899" w:rsidP="00AB4D08">
      <w:pPr>
        <w:spacing w:line="240" w:lineRule="auto"/>
        <w:contextualSpacing/>
        <w:jc w:val="both"/>
        <w:rPr>
          <w:rFonts w:ascii="Times New Roman" w:hAnsi="Times New Roman"/>
          <w:spacing w:val="-3"/>
          <w:sz w:val="24"/>
          <w:szCs w:val="24"/>
        </w:rPr>
      </w:pPr>
    </w:p>
    <w:p w14:paraId="3B202000" w14:textId="7B8430E4" w:rsidR="00BC3899" w:rsidRPr="004A1E72" w:rsidRDefault="00BC3899" w:rsidP="00AB4D08">
      <w:pPr>
        <w:spacing w:line="240" w:lineRule="auto"/>
        <w:contextualSpacing/>
        <w:jc w:val="both"/>
        <w:rPr>
          <w:rFonts w:ascii="Times New Roman" w:hAnsi="Times New Roman"/>
          <w:spacing w:val="-3"/>
          <w:sz w:val="24"/>
          <w:szCs w:val="24"/>
        </w:rPr>
      </w:pPr>
      <w:r>
        <w:rPr>
          <w:noProof/>
          <w:lang w:eastAsia="es-CO"/>
        </w:rPr>
        <w:drawing>
          <wp:inline distT="0" distB="0" distL="0" distR="0" wp14:anchorId="19548B4C" wp14:editId="0ABF06A9">
            <wp:extent cx="5791835" cy="4323080"/>
            <wp:effectExtent l="0" t="0" r="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323080"/>
                    </a:xfrm>
                    <a:prstGeom prst="rect">
                      <a:avLst/>
                    </a:prstGeom>
                  </pic:spPr>
                </pic:pic>
              </a:graphicData>
            </a:graphic>
          </wp:inline>
        </w:drawing>
      </w:r>
    </w:p>
    <w:p w14:paraId="1011EF8A" w14:textId="7CB7506D" w:rsidR="00904B88" w:rsidRDefault="00904B88" w:rsidP="00AB4D08">
      <w:pPr>
        <w:spacing w:after="0" w:line="240" w:lineRule="auto"/>
        <w:contextualSpacing/>
        <w:jc w:val="both"/>
        <w:rPr>
          <w:rFonts w:ascii="Times New Roman" w:hAnsi="Times New Roman"/>
          <w:sz w:val="24"/>
          <w:szCs w:val="24"/>
        </w:rPr>
      </w:pPr>
    </w:p>
    <w:p w14:paraId="16857D4F" w14:textId="4397994A" w:rsidR="008A617D" w:rsidRPr="00CD42D0" w:rsidRDefault="004F7F78" w:rsidP="00AB4D08">
      <w:pPr>
        <w:spacing w:after="0" w:line="240" w:lineRule="auto"/>
        <w:contextualSpacing/>
        <w:jc w:val="both"/>
        <w:rPr>
          <w:rFonts w:ascii="Times New Roman" w:hAnsi="Times New Roman"/>
          <w:sz w:val="24"/>
          <w:szCs w:val="24"/>
        </w:rPr>
      </w:pPr>
      <w:r w:rsidRPr="00CD42D0">
        <w:rPr>
          <w:rFonts w:ascii="Times New Roman" w:hAnsi="Times New Roman"/>
          <w:spacing w:val="-3"/>
          <w:sz w:val="24"/>
          <w:szCs w:val="24"/>
        </w:rPr>
        <w:t>De acuerdo a la información suministrada por la Subdirección Técnica de Tesorería y Recaudo, con corte a la vigencia 2019, las inversiones en administración de liquidez a costo amortizado, no presentan indicios de deterioro, tampoco existen inversiones pignoradas, transferidas, ni  reclasificaciones.</w:t>
      </w:r>
    </w:p>
    <w:p w14:paraId="1A24F8F2" w14:textId="77777777" w:rsidR="008A617D" w:rsidRDefault="008A617D" w:rsidP="00AB4D08">
      <w:pPr>
        <w:spacing w:after="0" w:line="240" w:lineRule="auto"/>
        <w:contextualSpacing/>
        <w:jc w:val="both"/>
        <w:rPr>
          <w:rFonts w:ascii="Times New Roman" w:hAnsi="Times New Roman"/>
          <w:sz w:val="24"/>
          <w:szCs w:val="24"/>
        </w:rPr>
      </w:pPr>
    </w:p>
    <w:p w14:paraId="40005758" w14:textId="77777777" w:rsidR="00CA477E" w:rsidRDefault="00CA477E" w:rsidP="00AB4D08">
      <w:pPr>
        <w:spacing w:after="0" w:line="240" w:lineRule="auto"/>
        <w:contextualSpacing/>
        <w:jc w:val="both"/>
        <w:rPr>
          <w:rFonts w:ascii="Times New Roman" w:hAnsi="Times New Roman"/>
          <w:sz w:val="24"/>
          <w:szCs w:val="24"/>
        </w:rPr>
      </w:pPr>
    </w:p>
    <w:p w14:paraId="68239C90" w14:textId="77777777" w:rsidR="00CA477E" w:rsidRPr="00CD42D0" w:rsidRDefault="00CA477E" w:rsidP="00AB4D08">
      <w:pPr>
        <w:spacing w:after="0" w:line="240" w:lineRule="auto"/>
        <w:contextualSpacing/>
        <w:jc w:val="both"/>
        <w:rPr>
          <w:rFonts w:ascii="Times New Roman" w:hAnsi="Times New Roman"/>
          <w:sz w:val="24"/>
          <w:szCs w:val="24"/>
        </w:rPr>
      </w:pPr>
    </w:p>
    <w:p w14:paraId="778D8DB5" w14:textId="71CA76C1" w:rsidR="008E6770" w:rsidRDefault="008E6770" w:rsidP="00AB4D08">
      <w:pPr>
        <w:spacing w:after="0" w:line="240" w:lineRule="auto"/>
        <w:contextualSpacing/>
        <w:jc w:val="both"/>
        <w:rPr>
          <w:rFonts w:ascii="Times New Roman" w:hAnsi="Times New Roman"/>
          <w:sz w:val="24"/>
          <w:szCs w:val="24"/>
        </w:rPr>
      </w:pPr>
      <w:r w:rsidRPr="00826439">
        <w:rPr>
          <w:rFonts w:ascii="Times New Roman" w:hAnsi="Times New Roman"/>
          <w:sz w:val="24"/>
          <w:szCs w:val="24"/>
        </w:rPr>
        <w:lastRenderedPageBreak/>
        <w:t>El portafolio de inversiones con corte a 31 de diciembre de 2019, está conformado así, con las siguientes condiciones:</w:t>
      </w:r>
      <w:r>
        <w:rPr>
          <w:rFonts w:ascii="Times New Roman" w:hAnsi="Times New Roman"/>
          <w:sz w:val="24"/>
          <w:szCs w:val="24"/>
        </w:rPr>
        <w:t xml:space="preserve"> </w:t>
      </w:r>
    </w:p>
    <w:p w14:paraId="17F91441" w14:textId="77777777" w:rsidR="00C53F73" w:rsidRDefault="00C53F73" w:rsidP="00AB4D08">
      <w:pPr>
        <w:spacing w:after="0" w:line="240" w:lineRule="auto"/>
        <w:contextualSpacing/>
        <w:jc w:val="both"/>
        <w:rPr>
          <w:rFonts w:ascii="Times New Roman" w:hAnsi="Times New Roman"/>
          <w:sz w:val="24"/>
          <w:szCs w:val="24"/>
        </w:rPr>
      </w:pPr>
    </w:p>
    <w:tbl>
      <w:tblPr>
        <w:tblW w:w="9340" w:type="dxa"/>
        <w:tblCellMar>
          <w:left w:w="70" w:type="dxa"/>
          <w:right w:w="70" w:type="dxa"/>
        </w:tblCellMar>
        <w:tblLook w:val="04A0" w:firstRow="1" w:lastRow="0" w:firstColumn="1" w:lastColumn="0" w:noHBand="0" w:noVBand="1"/>
      </w:tblPr>
      <w:tblGrid>
        <w:gridCol w:w="380"/>
        <w:gridCol w:w="1160"/>
        <w:gridCol w:w="1480"/>
        <w:gridCol w:w="640"/>
        <w:gridCol w:w="840"/>
        <w:gridCol w:w="761"/>
        <w:gridCol w:w="820"/>
        <w:gridCol w:w="760"/>
        <w:gridCol w:w="1027"/>
        <w:gridCol w:w="1540"/>
      </w:tblGrid>
      <w:tr w:rsidR="00826439" w:rsidRPr="00826439" w14:paraId="2A49D7B5" w14:textId="77777777" w:rsidTr="00826439">
        <w:trPr>
          <w:trHeight w:val="458"/>
        </w:trPr>
        <w:tc>
          <w:tcPr>
            <w:tcW w:w="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744E0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Nº</w:t>
            </w:r>
          </w:p>
        </w:tc>
        <w:tc>
          <w:tcPr>
            <w:tcW w:w="1160" w:type="dxa"/>
            <w:tcBorders>
              <w:top w:val="single" w:sz="4" w:space="0" w:color="auto"/>
              <w:left w:val="nil"/>
              <w:bottom w:val="single" w:sz="4" w:space="0" w:color="auto"/>
              <w:right w:val="single" w:sz="4" w:space="0" w:color="auto"/>
            </w:tcBorders>
            <w:shd w:val="clear" w:color="000000" w:fill="D9D9D9"/>
            <w:vAlign w:val="center"/>
            <w:hideMark/>
          </w:tcPr>
          <w:p w14:paraId="15E34B7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ENTIDAD</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4BD3397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VR NOMINAL CDT</w:t>
            </w:r>
          </w:p>
        </w:tc>
        <w:tc>
          <w:tcPr>
            <w:tcW w:w="640" w:type="dxa"/>
            <w:tcBorders>
              <w:top w:val="single" w:sz="4" w:space="0" w:color="auto"/>
              <w:left w:val="nil"/>
              <w:bottom w:val="single" w:sz="4" w:space="0" w:color="auto"/>
              <w:right w:val="single" w:sz="4" w:space="0" w:color="auto"/>
            </w:tcBorders>
            <w:shd w:val="clear" w:color="000000" w:fill="D9D9D9"/>
            <w:vAlign w:val="center"/>
            <w:hideMark/>
          </w:tcPr>
          <w:p w14:paraId="014FB81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Nº DEL TITULO</w:t>
            </w:r>
          </w:p>
        </w:tc>
        <w:tc>
          <w:tcPr>
            <w:tcW w:w="840" w:type="dxa"/>
            <w:tcBorders>
              <w:top w:val="single" w:sz="4" w:space="0" w:color="auto"/>
              <w:left w:val="nil"/>
              <w:bottom w:val="single" w:sz="4" w:space="0" w:color="auto"/>
              <w:right w:val="single" w:sz="4" w:space="0" w:color="auto"/>
            </w:tcBorders>
            <w:shd w:val="clear" w:color="000000" w:fill="D9D9D9"/>
            <w:vAlign w:val="center"/>
            <w:hideMark/>
          </w:tcPr>
          <w:p w14:paraId="6A56E10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DIAS PACTADOS</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22031DF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TASA EFECTIVA</w:t>
            </w:r>
          </w:p>
        </w:tc>
        <w:tc>
          <w:tcPr>
            <w:tcW w:w="820" w:type="dxa"/>
            <w:tcBorders>
              <w:top w:val="single" w:sz="4" w:space="0" w:color="auto"/>
              <w:left w:val="nil"/>
              <w:bottom w:val="single" w:sz="4" w:space="0" w:color="auto"/>
              <w:right w:val="single" w:sz="4" w:space="0" w:color="auto"/>
            </w:tcBorders>
            <w:shd w:val="clear" w:color="000000" w:fill="D9D9D9"/>
            <w:vAlign w:val="center"/>
            <w:hideMark/>
          </w:tcPr>
          <w:p w14:paraId="6CA04A1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 xml:space="preserve">TASA NOMINAL </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5C464BC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FECHA EMISION</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FD54CB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FECHA DE VENCIMIENTO</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14:paraId="04ED9A6C"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VALOR A PRECIO DE MERCADO</w:t>
            </w:r>
          </w:p>
        </w:tc>
      </w:tr>
      <w:tr w:rsidR="00826439" w:rsidRPr="00826439" w14:paraId="7F2C4E4A"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DE5169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w:t>
            </w:r>
          </w:p>
        </w:tc>
        <w:tc>
          <w:tcPr>
            <w:tcW w:w="1160" w:type="dxa"/>
            <w:tcBorders>
              <w:top w:val="nil"/>
              <w:left w:val="nil"/>
              <w:bottom w:val="single" w:sz="4" w:space="0" w:color="auto"/>
              <w:right w:val="single" w:sz="4" w:space="0" w:color="auto"/>
            </w:tcBorders>
            <w:shd w:val="clear" w:color="auto" w:fill="auto"/>
            <w:noWrap/>
            <w:vAlign w:val="center"/>
            <w:hideMark/>
          </w:tcPr>
          <w:p w14:paraId="08A1796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35BB1B5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19.416.837.377 </w:t>
            </w:r>
          </w:p>
        </w:tc>
        <w:tc>
          <w:tcPr>
            <w:tcW w:w="640" w:type="dxa"/>
            <w:tcBorders>
              <w:top w:val="nil"/>
              <w:left w:val="nil"/>
              <w:bottom w:val="single" w:sz="4" w:space="0" w:color="auto"/>
              <w:right w:val="single" w:sz="4" w:space="0" w:color="auto"/>
            </w:tcBorders>
            <w:shd w:val="clear" w:color="auto" w:fill="auto"/>
            <w:noWrap/>
            <w:vAlign w:val="center"/>
            <w:hideMark/>
          </w:tcPr>
          <w:p w14:paraId="6614B7E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167496</w:t>
            </w:r>
          </w:p>
        </w:tc>
        <w:tc>
          <w:tcPr>
            <w:tcW w:w="840" w:type="dxa"/>
            <w:tcBorders>
              <w:top w:val="nil"/>
              <w:left w:val="nil"/>
              <w:bottom w:val="single" w:sz="4" w:space="0" w:color="auto"/>
              <w:right w:val="single" w:sz="4" w:space="0" w:color="auto"/>
            </w:tcBorders>
            <w:shd w:val="clear" w:color="auto" w:fill="auto"/>
            <w:noWrap/>
            <w:vAlign w:val="center"/>
            <w:hideMark/>
          </w:tcPr>
          <w:p w14:paraId="43E067A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92</w:t>
            </w:r>
          </w:p>
        </w:tc>
        <w:tc>
          <w:tcPr>
            <w:tcW w:w="760" w:type="dxa"/>
            <w:tcBorders>
              <w:top w:val="nil"/>
              <w:left w:val="nil"/>
              <w:bottom w:val="single" w:sz="4" w:space="0" w:color="auto"/>
              <w:right w:val="single" w:sz="4" w:space="0" w:color="auto"/>
            </w:tcBorders>
            <w:shd w:val="clear" w:color="auto" w:fill="auto"/>
            <w:noWrap/>
            <w:vAlign w:val="center"/>
            <w:hideMark/>
          </w:tcPr>
          <w:p w14:paraId="12F5046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4,70%</w:t>
            </w:r>
          </w:p>
        </w:tc>
        <w:tc>
          <w:tcPr>
            <w:tcW w:w="820" w:type="dxa"/>
            <w:tcBorders>
              <w:top w:val="nil"/>
              <w:left w:val="nil"/>
              <w:bottom w:val="single" w:sz="4" w:space="0" w:color="auto"/>
              <w:right w:val="single" w:sz="4" w:space="0" w:color="auto"/>
            </w:tcBorders>
            <w:shd w:val="clear" w:color="auto" w:fill="auto"/>
            <w:noWrap/>
            <w:vAlign w:val="center"/>
            <w:hideMark/>
          </w:tcPr>
          <w:p w14:paraId="5CB6A6A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4,62%</w:t>
            </w:r>
          </w:p>
        </w:tc>
        <w:tc>
          <w:tcPr>
            <w:tcW w:w="760" w:type="dxa"/>
            <w:tcBorders>
              <w:top w:val="nil"/>
              <w:left w:val="nil"/>
              <w:bottom w:val="single" w:sz="4" w:space="0" w:color="auto"/>
              <w:right w:val="single" w:sz="4" w:space="0" w:color="auto"/>
            </w:tcBorders>
            <w:shd w:val="clear" w:color="auto" w:fill="auto"/>
            <w:noWrap/>
            <w:vAlign w:val="center"/>
            <w:hideMark/>
          </w:tcPr>
          <w:p w14:paraId="662345B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2019/10/11</w:t>
            </w:r>
          </w:p>
        </w:tc>
        <w:tc>
          <w:tcPr>
            <w:tcW w:w="960" w:type="dxa"/>
            <w:tcBorders>
              <w:top w:val="nil"/>
              <w:left w:val="nil"/>
              <w:bottom w:val="single" w:sz="4" w:space="0" w:color="auto"/>
              <w:right w:val="single" w:sz="4" w:space="0" w:color="auto"/>
            </w:tcBorders>
            <w:shd w:val="clear" w:color="auto" w:fill="auto"/>
            <w:noWrap/>
            <w:vAlign w:val="center"/>
            <w:hideMark/>
          </w:tcPr>
          <w:p w14:paraId="7235F4B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2020/01/13</w:t>
            </w:r>
          </w:p>
        </w:tc>
        <w:tc>
          <w:tcPr>
            <w:tcW w:w="1540" w:type="dxa"/>
            <w:tcBorders>
              <w:top w:val="nil"/>
              <w:left w:val="nil"/>
              <w:bottom w:val="single" w:sz="4" w:space="0" w:color="auto"/>
              <w:right w:val="single" w:sz="4" w:space="0" w:color="auto"/>
            </w:tcBorders>
            <w:shd w:val="clear" w:color="auto" w:fill="auto"/>
            <w:noWrap/>
            <w:vAlign w:val="center"/>
            <w:hideMark/>
          </w:tcPr>
          <w:p w14:paraId="1AF9E0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19.614.220.471 </w:t>
            </w:r>
          </w:p>
        </w:tc>
      </w:tr>
      <w:tr w:rsidR="00826439" w:rsidRPr="00826439" w14:paraId="0781E5B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1C4751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w:t>
            </w:r>
          </w:p>
        </w:tc>
        <w:tc>
          <w:tcPr>
            <w:tcW w:w="1160" w:type="dxa"/>
            <w:tcBorders>
              <w:top w:val="nil"/>
              <w:left w:val="nil"/>
              <w:bottom w:val="single" w:sz="4" w:space="0" w:color="auto"/>
              <w:right w:val="single" w:sz="4" w:space="0" w:color="auto"/>
            </w:tcBorders>
            <w:shd w:val="clear" w:color="auto" w:fill="auto"/>
            <w:noWrap/>
            <w:vAlign w:val="center"/>
            <w:hideMark/>
          </w:tcPr>
          <w:p w14:paraId="48CD48F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0675733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12.171.620.723 </w:t>
            </w:r>
          </w:p>
        </w:tc>
        <w:tc>
          <w:tcPr>
            <w:tcW w:w="640" w:type="dxa"/>
            <w:tcBorders>
              <w:top w:val="nil"/>
              <w:left w:val="nil"/>
              <w:bottom w:val="single" w:sz="4" w:space="0" w:color="auto"/>
              <w:right w:val="single" w:sz="4" w:space="0" w:color="auto"/>
            </w:tcBorders>
            <w:shd w:val="clear" w:color="auto" w:fill="auto"/>
            <w:noWrap/>
            <w:vAlign w:val="center"/>
            <w:hideMark/>
          </w:tcPr>
          <w:p w14:paraId="62D0E68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118489</w:t>
            </w:r>
          </w:p>
        </w:tc>
        <w:tc>
          <w:tcPr>
            <w:tcW w:w="840" w:type="dxa"/>
            <w:tcBorders>
              <w:top w:val="nil"/>
              <w:left w:val="nil"/>
              <w:bottom w:val="single" w:sz="4" w:space="0" w:color="auto"/>
              <w:right w:val="single" w:sz="4" w:space="0" w:color="auto"/>
            </w:tcBorders>
            <w:shd w:val="clear" w:color="auto" w:fill="auto"/>
            <w:noWrap/>
            <w:vAlign w:val="center"/>
            <w:hideMark/>
          </w:tcPr>
          <w:p w14:paraId="0327DC8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181</w:t>
            </w:r>
          </w:p>
        </w:tc>
        <w:tc>
          <w:tcPr>
            <w:tcW w:w="760" w:type="dxa"/>
            <w:tcBorders>
              <w:top w:val="nil"/>
              <w:left w:val="nil"/>
              <w:bottom w:val="single" w:sz="4" w:space="0" w:color="auto"/>
              <w:right w:val="single" w:sz="4" w:space="0" w:color="auto"/>
            </w:tcBorders>
            <w:shd w:val="clear" w:color="auto" w:fill="auto"/>
            <w:noWrap/>
            <w:vAlign w:val="center"/>
            <w:hideMark/>
          </w:tcPr>
          <w:p w14:paraId="2B44C01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078A65B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636DC84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2019/07/23</w:t>
            </w:r>
          </w:p>
        </w:tc>
        <w:tc>
          <w:tcPr>
            <w:tcW w:w="960" w:type="dxa"/>
            <w:tcBorders>
              <w:top w:val="nil"/>
              <w:left w:val="nil"/>
              <w:bottom w:val="single" w:sz="4" w:space="0" w:color="auto"/>
              <w:right w:val="single" w:sz="4" w:space="0" w:color="auto"/>
            </w:tcBorders>
            <w:shd w:val="clear" w:color="auto" w:fill="auto"/>
            <w:noWrap/>
            <w:vAlign w:val="center"/>
            <w:hideMark/>
          </w:tcPr>
          <w:p w14:paraId="05A9CDC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2020/01/24</w:t>
            </w:r>
          </w:p>
        </w:tc>
        <w:tc>
          <w:tcPr>
            <w:tcW w:w="1540" w:type="dxa"/>
            <w:tcBorders>
              <w:top w:val="nil"/>
              <w:left w:val="nil"/>
              <w:bottom w:val="single" w:sz="4" w:space="0" w:color="auto"/>
              <w:right w:val="single" w:sz="4" w:space="0" w:color="auto"/>
            </w:tcBorders>
            <w:shd w:val="clear" w:color="auto" w:fill="auto"/>
            <w:noWrap/>
            <w:vAlign w:val="center"/>
            <w:hideMark/>
          </w:tcPr>
          <w:p w14:paraId="5E47E75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12.423.890.938 </w:t>
            </w:r>
          </w:p>
        </w:tc>
      </w:tr>
      <w:tr w:rsidR="00826439" w:rsidRPr="00826439" w14:paraId="636D9BCA"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D568EC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w:t>
            </w:r>
          </w:p>
        </w:tc>
        <w:tc>
          <w:tcPr>
            <w:tcW w:w="1160" w:type="dxa"/>
            <w:tcBorders>
              <w:top w:val="nil"/>
              <w:left w:val="nil"/>
              <w:bottom w:val="single" w:sz="4" w:space="0" w:color="auto"/>
              <w:right w:val="single" w:sz="4" w:space="0" w:color="auto"/>
            </w:tcBorders>
            <w:shd w:val="clear" w:color="auto" w:fill="auto"/>
            <w:noWrap/>
            <w:vAlign w:val="center"/>
            <w:hideMark/>
          </w:tcPr>
          <w:p w14:paraId="1CB00DF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29153E0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12.443.529.415 </w:t>
            </w:r>
          </w:p>
        </w:tc>
        <w:tc>
          <w:tcPr>
            <w:tcW w:w="640" w:type="dxa"/>
            <w:tcBorders>
              <w:top w:val="nil"/>
              <w:left w:val="nil"/>
              <w:bottom w:val="single" w:sz="4" w:space="0" w:color="auto"/>
              <w:right w:val="single" w:sz="4" w:space="0" w:color="auto"/>
            </w:tcBorders>
            <w:shd w:val="clear" w:color="auto" w:fill="auto"/>
            <w:noWrap/>
            <w:vAlign w:val="center"/>
            <w:hideMark/>
          </w:tcPr>
          <w:p w14:paraId="2EF9AFA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83348</w:t>
            </w:r>
          </w:p>
        </w:tc>
        <w:tc>
          <w:tcPr>
            <w:tcW w:w="840" w:type="dxa"/>
            <w:tcBorders>
              <w:top w:val="nil"/>
              <w:left w:val="nil"/>
              <w:bottom w:val="single" w:sz="4" w:space="0" w:color="auto"/>
              <w:right w:val="single" w:sz="4" w:space="0" w:color="auto"/>
            </w:tcBorders>
            <w:shd w:val="clear" w:color="auto" w:fill="auto"/>
            <w:noWrap/>
            <w:vAlign w:val="center"/>
            <w:hideMark/>
          </w:tcPr>
          <w:p w14:paraId="3BD5092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76CC71A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1C303F9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0204B23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2019/05/24</w:t>
            </w:r>
          </w:p>
        </w:tc>
        <w:tc>
          <w:tcPr>
            <w:tcW w:w="960" w:type="dxa"/>
            <w:tcBorders>
              <w:top w:val="nil"/>
              <w:left w:val="nil"/>
              <w:bottom w:val="single" w:sz="4" w:space="0" w:color="auto"/>
              <w:right w:val="single" w:sz="4" w:space="0" w:color="auto"/>
            </w:tcBorders>
            <w:shd w:val="clear" w:color="auto" w:fill="auto"/>
            <w:noWrap/>
            <w:vAlign w:val="center"/>
            <w:hideMark/>
          </w:tcPr>
          <w:p w14:paraId="0935B57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2020/01/24</w:t>
            </w:r>
          </w:p>
        </w:tc>
        <w:tc>
          <w:tcPr>
            <w:tcW w:w="1540" w:type="dxa"/>
            <w:tcBorders>
              <w:top w:val="nil"/>
              <w:left w:val="nil"/>
              <w:bottom w:val="single" w:sz="4" w:space="0" w:color="auto"/>
              <w:right w:val="single" w:sz="4" w:space="0" w:color="auto"/>
            </w:tcBorders>
            <w:shd w:val="clear" w:color="auto" w:fill="auto"/>
            <w:noWrap/>
            <w:vAlign w:val="center"/>
            <w:hideMark/>
          </w:tcPr>
          <w:p w14:paraId="6C7F1C4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12.821.374.557 </w:t>
            </w:r>
          </w:p>
        </w:tc>
      </w:tr>
      <w:tr w:rsidR="00826439" w:rsidRPr="00826439" w14:paraId="5DB9103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EFE7F9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w:t>
            </w:r>
          </w:p>
        </w:tc>
        <w:tc>
          <w:tcPr>
            <w:tcW w:w="1160" w:type="dxa"/>
            <w:tcBorders>
              <w:top w:val="nil"/>
              <w:left w:val="nil"/>
              <w:bottom w:val="single" w:sz="4" w:space="0" w:color="auto"/>
              <w:right w:val="single" w:sz="4" w:space="0" w:color="auto"/>
            </w:tcBorders>
            <w:shd w:val="clear" w:color="auto" w:fill="auto"/>
            <w:noWrap/>
            <w:vAlign w:val="center"/>
            <w:hideMark/>
          </w:tcPr>
          <w:p w14:paraId="0472346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2C50236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27.454.235.161 </w:t>
            </w:r>
          </w:p>
        </w:tc>
        <w:tc>
          <w:tcPr>
            <w:tcW w:w="640" w:type="dxa"/>
            <w:tcBorders>
              <w:top w:val="nil"/>
              <w:left w:val="nil"/>
              <w:bottom w:val="single" w:sz="4" w:space="0" w:color="auto"/>
              <w:right w:val="single" w:sz="4" w:space="0" w:color="auto"/>
            </w:tcBorders>
            <w:shd w:val="clear" w:color="auto" w:fill="auto"/>
            <w:noWrap/>
            <w:vAlign w:val="center"/>
            <w:hideMark/>
          </w:tcPr>
          <w:p w14:paraId="196B598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121566</w:t>
            </w:r>
          </w:p>
        </w:tc>
        <w:tc>
          <w:tcPr>
            <w:tcW w:w="840" w:type="dxa"/>
            <w:tcBorders>
              <w:top w:val="nil"/>
              <w:left w:val="nil"/>
              <w:bottom w:val="single" w:sz="4" w:space="0" w:color="auto"/>
              <w:right w:val="single" w:sz="4" w:space="0" w:color="auto"/>
            </w:tcBorders>
            <w:shd w:val="clear" w:color="auto" w:fill="auto"/>
            <w:noWrap/>
            <w:vAlign w:val="center"/>
            <w:hideMark/>
          </w:tcPr>
          <w:p w14:paraId="46553B9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181</w:t>
            </w:r>
          </w:p>
        </w:tc>
        <w:tc>
          <w:tcPr>
            <w:tcW w:w="760" w:type="dxa"/>
            <w:tcBorders>
              <w:top w:val="nil"/>
              <w:left w:val="nil"/>
              <w:bottom w:val="single" w:sz="4" w:space="0" w:color="auto"/>
              <w:right w:val="single" w:sz="4" w:space="0" w:color="auto"/>
            </w:tcBorders>
            <w:shd w:val="clear" w:color="auto" w:fill="auto"/>
            <w:noWrap/>
            <w:vAlign w:val="center"/>
            <w:hideMark/>
          </w:tcPr>
          <w:p w14:paraId="4EDD1E7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13E6EE6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1D540B0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2019/07/26</w:t>
            </w:r>
          </w:p>
        </w:tc>
        <w:tc>
          <w:tcPr>
            <w:tcW w:w="960" w:type="dxa"/>
            <w:tcBorders>
              <w:top w:val="nil"/>
              <w:left w:val="nil"/>
              <w:bottom w:val="single" w:sz="4" w:space="0" w:color="auto"/>
              <w:right w:val="single" w:sz="4" w:space="0" w:color="auto"/>
            </w:tcBorders>
            <w:shd w:val="clear" w:color="auto" w:fill="auto"/>
            <w:noWrap/>
            <w:vAlign w:val="center"/>
            <w:hideMark/>
          </w:tcPr>
          <w:p w14:paraId="3C38EFA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2020/01/27</w:t>
            </w:r>
          </w:p>
        </w:tc>
        <w:tc>
          <w:tcPr>
            <w:tcW w:w="1540" w:type="dxa"/>
            <w:tcBorders>
              <w:top w:val="nil"/>
              <w:left w:val="nil"/>
              <w:bottom w:val="single" w:sz="4" w:space="0" w:color="auto"/>
              <w:right w:val="single" w:sz="4" w:space="0" w:color="auto"/>
            </w:tcBorders>
            <w:shd w:val="clear" w:color="auto" w:fill="auto"/>
            <w:noWrap/>
            <w:vAlign w:val="center"/>
            <w:hideMark/>
          </w:tcPr>
          <w:p w14:paraId="6F4FA6A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28.012.544.432 </w:t>
            </w:r>
          </w:p>
        </w:tc>
      </w:tr>
      <w:tr w:rsidR="00826439" w:rsidRPr="00826439" w14:paraId="3B1E59E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FB0B73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w:t>
            </w:r>
          </w:p>
        </w:tc>
        <w:tc>
          <w:tcPr>
            <w:tcW w:w="1160" w:type="dxa"/>
            <w:tcBorders>
              <w:top w:val="nil"/>
              <w:left w:val="nil"/>
              <w:bottom w:val="single" w:sz="4" w:space="0" w:color="auto"/>
              <w:right w:val="single" w:sz="4" w:space="0" w:color="auto"/>
            </w:tcBorders>
            <w:shd w:val="clear" w:color="auto" w:fill="auto"/>
            <w:noWrap/>
            <w:vAlign w:val="center"/>
            <w:hideMark/>
          </w:tcPr>
          <w:p w14:paraId="5971CEF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7E1E8C1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3.610.690.109 </w:t>
            </w:r>
          </w:p>
        </w:tc>
        <w:tc>
          <w:tcPr>
            <w:tcW w:w="640" w:type="dxa"/>
            <w:tcBorders>
              <w:top w:val="nil"/>
              <w:left w:val="nil"/>
              <w:bottom w:val="single" w:sz="4" w:space="0" w:color="auto"/>
              <w:right w:val="single" w:sz="4" w:space="0" w:color="auto"/>
            </w:tcBorders>
            <w:shd w:val="clear" w:color="auto" w:fill="auto"/>
            <w:noWrap/>
            <w:vAlign w:val="center"/>
            <w:hideMark/>
          </w:tcPr>
          <w:p w14:paraId="74F203F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130780</w:t>
            </w:r>
          </w:p>
        </w:tc>
        <w:tc>
          <w:tcPr>
            <w:tcW w:w="840" w:type="dxa"/>
            <w:tcBorders>
              <w:top w:val="nil"/>
              <w:left w:val="nil"/>
              <w:bottom w:val="single" w:sz="4" w:space="0" w:color="auto"/>
              <w:right w:val="single" w:sz="4" w:space="0" w:color="auto"/>
            </w:tcBorders>
            <w:shd w:val="clear" w:color="auto" w:fill="auto"/>
            <w:noWrap/>
            <w:vAlign w:val="center"/>
            <w:hideMark/>
          </w:tcPr>
          <w:p w14:paraId="038EBC8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216</w:t>
            </w:r>
          </w:p>
        </w:tc>
        <w:tc>
          <w:tcPr>
            <w:tcW w:w="760" w:type="dxa"/>
            <w:tcBorders>
              <w:top w:val="nil"/>
              <w:left w:val="nil"/>
              <w:bottom w:val="single" w:sz="4" w:space="0" w:color="auto"/>
              <w:right w:val="single" w:sz="4" w:space="0" w:color="auto"/>
            </w:tcBorders>
            <w:shd w:val="clear" w:color="auto" w:fill="auto"/>
            <w:noWrap/>
            <w:vAlign w:val="center"/>
            <w:hideMark/>
          </w:tcPr>
          <w:p w14:paraId="15E3378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48D5D72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4EAC24A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2019/06/25</w:t>
            </w:r>
          </w:p>
        </w:tc>
        <w:tc>
          <w:tcPr>
            <w:tcW w:w="960" w:type="dxa"/>
            <w:tcBorders>
              <w:top w:val="nil"/>
              <w:left w:val="nil"/>
              <w:bottom w:val="single" w:sz="4" w:space="0" w:color="auto"/>
              <w:right w:val="single" w:sz="4" w:space="0" w:color="auto"/>
            </w:tcBorders>
            <w:shd w:val="clear" w:color="auto" w:fill="auto"/>
            <w:noWrap/>
            <w:vAlign w:val="center"/>
            <w:hideMark/>
          </w:tcPr>
          <w:p w14:paraId="3D07C01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2020/01/27</w:t>
            </w:r>
          </w:p>
        </w:tc>
        <w:tc>
          <w:tcPr>
            <w:tcW w:w="1540" w:type="dxa"/>
            <w:tcBorders>
              <w:top w:val="nil"/>
              <w:left w:val="nil"/>
              <w:bottom w:val="single" w:sz="4" w:space="0" w:color="auto"/>
              <w:right w:val="single" w:sz="4" w:space="0" w:color="auto"/>
            </w:tcBorders>
            <w:shd w:val="clear" w:color="auto" w:fill="auto"/>
            <w:noWrap/>
            <w:vAlign w:val="center"/>
            <w:hideMark/>
          </w:tcPr>
          <w:p w14:paraId="6D60F18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3.701.246.088 </w:t>
            </w:r>
          </w:p>
        </w:tc>
      </w:tr>
      <w:tr w:rsidR="00826439" w:rsidRPr="00826439" w14:paraId="349A0F22"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66AC935"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w:t>
            </w:r>
          </w:p>
        </w:tc>
        <w:tc>
          <w:tcPr>
            <w:tcW w:w="1160" w:type="dxa"/>
            <w:tcBorders>
              <w:top w:val="nil"/>
              <w:left w:val="nil"/>
              <w:bottom w:val="single" w:sz="4" w:space="0" w:color="auto"/>
              <w:right w:val="single" w:sz="4" w:space="0" w:color="auto"/>
            </w:tcBorders>
            <w:shd w:val="clear" w:color="auto" w:fill="auto"/>
            <w:noWrap/>
            <w:vAlign w:val="center"/>
            <w:hideMark/>
          </w:tcPr>
          <w:p w14:paraId="19B5C02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6C98B5E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2.590.304.278 </w:t>
            </w:r>
          </w:p>
        </w:tc>
        <w:tc>
          <w:tcPr>
            <w:tcW w:w="640" w:type="dxa"/>
            <w:tcBorders>
              <w:top w:val="nil"/>
              <w:left w:val="nil"/>
              <w:bottom w:val="single" w:sz="4" w:space="0" w:color="auto"/>
              <w:right w:val="single" w:sz="4" w:space="0" w:color="auto"/>
            </w:tcBorders>
            <w:shd w:val="clear" w:color="auto" w:fill="auto"/>
            <w:noWrap/>
            <w:vAlign w:val="center"/>
            <w:hideMark/>
          </w:tcPr>
          <w:p w14:paraId="39888D0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84136</w:t>
            </w:r>
          </w:p>
        </w:tc>
        <w:tc>
          <w:tcPr>
            <w:tcW w:w="840" w:type="dxa"/>
            <w:tcBorders>
              <w:top w:val="nil"/>
              <w:left w:val="nil"/>
              <w:bottom w:val="single" w:sz="4" w:space="0" w:color="auto"/>
              <w:right w:val="single" w:sz="4" w:space="0" w:color="auto"/>
            </w:tcBorders>
            <w:shd w:val="clear" w:color="auto" w:fill="auto"/>
            <w:noWrap/>
            <w:vAlign w:val="center"/>
            <w:hideMark/>
          </w:tcPr>
          <w:p w14:paraId="469650E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0FA9A8B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7AB9902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3BDBF9B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2019/05/27</w:t>
            </w:r>
          </w:p>
        </w:tc>
        <w:tc>
          <w:tcPr>
            <w:tcW w:w="960" w:type="dxa"/>
            <w:tcBorders>
              <w:top w:val="nil"/>
              <w:left w:val="nil"/>
              <w:bottom w:val="single" w:sz="4" w:space="0" w:color="auto"/>
              <w:right w:val="single" w:sz="4" w:space="0" w:color="auto"/>
            </w:tcBorders>
            <w:shd w:val="clear" w:color="auto" w:fill="auto"/>
            <w:noWrap/>
            <w:vAlign w:val="center"/>
            <w:hideMark/>
          </w:tcPr>
          <w:p w14:paraId="0106C6C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2020/01/27</w:t>
            </w:r>
          </w:p>
        </w:tc>
        <w:tc>
          <w:tcPr>
            <w:tcW w:w="1540" w:type="dxa"/>
            <w:tcBorders>
              <w:top w:val="nil"/>
              <w:left w:val="nil"/>
              <w:bottom w:val="single" w:sz="4" w:space="0" w:color="auto"/>
              <w:right w:val="single" w:sz="4" w:space="0" w:color="auto"/>
            </w:tcBorders>
            <w:shd w:val="clear" w:color="auto" w:fill="auto"/>
            <w:noWrap/>
            <w:vAlign w:val="center"/>
            <w:hideMark/>
          </w:tcPr>
          <w:p w14:paraId="7C03B09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2.667.874.790 </w:t>
            </w:r>
          </w:p>
        </w:tc>
      </w:tr>
      <w:tr w:rsidR="00826439" w:rsidRPr="00826439" w14:paraId="3FA9D23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54369F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w:t>
            </w:r>
          </w:p>
        </w:tc>
        <w:tc>
          <w:tcPr>
            <w:tcW w:w="1160" w:type="dxa"/>
            <w:tcBorders>
              <w:top w:val="nil"/>
              <w:left w:val="nil"/>
              <w:bottom w:val="single" w:sz="4" w:space="0" w:color="auto"/>
              <w:right w:val="single" w:sz="4" w:space="0" w:color="auto"/>
            </w:tcBorders>
            <w:shd w:val="clear" w:color="auto" w:fill="auto"/>
            <w:noWrap/>
            <w:vAlign w:val="center"/>
            <w:hideMark/>
          </w:tcPr>
          <w:p w14:paraId="5645D23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4F9DA65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9.000.000.000 </w:t>
            </w:r>
          </w:p>
        </w:tc>
        <w:tc>
          <w:tcPr>
            <w:tcW w:w="640" w:type="dxa"/>
            <w:tcBorders>
              <w:top w:val="nil"/>
              <w:left w:val="nil"/>
              <w:bottom w:val="single" w:sz="4" w:space="0" w:color="auto"/>
              <w:right w:val="single" w:sz="4" w:space="0" w:color="auto"/>
            </w:tcBorders>
            <w:shd w:val="clear" w:color="auto" w:fill="auto"/>
            <w:noWrap/>
            <w:vAlign w:val="center"/>
            <w:hideMark/>
          </w:tcPr>
          <w:p w14:paraId="6E038A8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126862</w:t>
            </w:r>
          </w:p>
        </w:tc>
        <w:tc>
          <w:tcPr>
            <w:tcW w:w="840" w:type="dxa"/>
            <w:tcBorders>
              <w:top w:val="nil"/>
              <w:left w:val="nil"/>
              <w:bottom w:val="single" w:sz="4" w:space="0" w:color="auto"/>
              <w:right w:val="single" w:sz="4" w:space="0" w:color="auto"/>
            </w:tcBorders>
            <w:shd w:val="clear" w:color="auto" w:fill="auto"/>
            <w:noWrap/>
            <w:vAlign w:val="center"/>
            <w:hideMark/>
          </w:tcPr>
          <w:p w14:paraId="18E67A5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272</w:t>
            </w:r>
          </w:p>
        </w:tc>
        <w:tc>
          <w:tcPr>
            <w:tcW w:w="760" w:type="dxa"/>
            <w:tcBorders>
              <w:top w:val="nil"/>
              <w:left w:val="nil"/>
              <w:bottom w:val="single" w:sz="4" w:space="0" w:color="auto"/>
              <w:right w:val="single" w:sz="4" w:space="0" w:color="auto"/>
            </w:tcBorders>
            <w:shd w:val="clear" w:color="auto" w:fill="auto"/>
            <w:noWrap/>
            <w:vAlign w:val="center"/>
            <w:hideMark/>
          </w:tcPr>
          <w:p w14:paraId="5CEF597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5,15%</w:t>
            </w:r>
          </w:p>
        </w:tc>
        <w:tc>
          <w:tcPr>
            <w:tcW w:w="820" w:type="dxa"/>
            <w:tcBorders>
              <w:top w:val="nil"/>
              <w:left w:val="nil"/>
              <w:bottom w:val="single" w:sz="4" w:space="0" w:color="auto"/>
              <w:right w:val="single" w:sz="4" w:space="0" w:color="auto"/>
            </w:tcBorders>
            <w:shd w:val="clear" w:color="auto" w:fill="auto"/>
            <w:noWrap/>
            <w:vAlign w:val="center"/>
            <w:hideMark/>
          </w:tcPr>
          <w:p w14:paraId="6547A3C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5,12%</w:t>
            </w:r>
          </w:p>
        </w:tc>
        <w:tc>
          <w:tcPr>
            <w:tcW w:w="760" w:type="dxa"/>
            <w:tcBorders>
              <w:top w:val="nil"/>
              <w:left w:val="nil"/>
              <w:bottom w:val="single" w:sz="4" w:space="0" w:color="auto"/>
              <w:right w:val="single" w:sz="4" w:space="0" w:color="auto"/>
            </w:tcBorders>
            <w:shd w:val="clear" w:color="auto" w:fill="auto"/>
            <w:noWrap/>
            <w:vAlign w:val="center"/>
            <w:hideMark/>
          </w:tcPr>
          <w:p w14:paraId="08633E6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2019/04/25</w:t>
            </w:r>
          </w:p>
        </w:tc>
        <w:tc>
          <w:tcPr>
            <w:tcW w:w="960" w:type="dxa"/>
            <w:tcBorders>
              <w:top w:val="nil"/>
              <w:left w:val="nil"/>
              <w:bottom w:val="single" w:sz="4" w:space="0" w:color="auto"/>
              <w:right w:val="single" w:sz="4" w:space="0" w:color="auto"/>
            </w:tcBorders>
            <w:shd w:val="clear" w:color="auto" w:fill="auto"/>
            <w:noWrap/>
            <w:vAlign w:val="center"/>
            <w:hideMark/>
          </w:tcPr>
          <w:p w14:paraId="625D838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2020/01/27</w:t>
            </w:r>
          </w:p>
        </w:tc>
        <w:tc>
          <w:tcPr>
            <w:tcW w:w="1540" w:type="dxa"/>
            <w:tcBorders>
              <w:top w:val="nil"/>
              <w:left w:val="nil"/>
              <w:bottom w:val="single" w:sz="4" w:space="0" w:color="auto"/>
              <w:right w:val="single" w:sz="4" w:space="0" w:color="auto"/>
            </w:tcBorders>
            <w:shd w:val="clear" w:color="auto" w:fill="auto"/>
            <w:noWrap/>
            <w:vAlign w:val="center"/>
            <w:hideMark/>
          </w:tcPr>
          <w:p w14:paraId="388ACB6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9.313.535.678 </w:t>
            </w:r>
          </w:p>
        </w:tc>
      </w:tr>
      <w:tr w:rsidR="00826439" w:rsidRPr="00826439" w14:paraId="2F04852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0F31AE4"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w:t>
            </w:r>
          </w:p>
        </w:tc>
        <w:tc>
          <w:tcPr>
            <w:tcW w:w="1160" w:type="dxa"/>
            <w:tcBorders>
              <w:top w:val="nil"/>
              <w:left w:val="nil"/>
              <w:bottom w:val="single" w:sz="4" w:space="0" w:color="auto"/>
              <w:right w:val="single" w:sz="4" w:space="0" w:color="auto"/>
            </w:tcBorders>
            <w:shd w:val="clear" w:color="auto" w:fill="auto"/>
            <w:noWrap/>
            <w:vAlign w:val="center"/>
            <w:hideMark/>
          </w:tcPr>
          <w:p w14:paraId="395B878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076B12B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2.512.269.931 </w:t>
            </w:r>
          </w:p>
        </w:tc>
        <w:tc>
          <w:tcPr>
            <w:tcW w:w="640" w:type="dxa"/>
            <w:tcBorders>
              <w:top w:val="nil"/>
              <w:left w:val="nil"/>
              <w:bottom w:val="single" w:sz="4" w:space="0" w:color="auto"/>
              <w:right w:val="single" w:sz="4" w:space="0" w:color="auto"/>
            </w:tcBorders>
            <w:shd w:val="clear" w:color="auto" w:fill="auto"/>
            <w:noWrap/>
            <w:vAlign w:val="center"/>
            <w:hideMark/>
          </w:tcPr>
          <w:p w14:paraId="31B9098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125807</w:t>
            </w:r>
          </w:p>
        </w:tc>
        <w:tc>
          <w:tcPr>
            <w:tcW w:w="840" w:type="dxa"/>
            <w:tcBorders>
              <w:top w:val="nil"/>
              <w:left w:val="nil"/>
              <w:bottom w:val="single" w:sz="4" w:space="0" w:color="auto"/>
              <w:right w:val="single" w:sz="4" w:space="0" w:color="auto"/>
            </w:tcBorders>
            <w:shd w:val="clear" w:color="auto" w:fill="auto"/>
            <w:noWrap/>
            <w:vAlign w:val="center"/>
            <w:hideMark/>
          </w:tcPr>
          <w:p w14:paraId="22AFA29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46FC475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5749334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2E4071B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2019/08/02</w:t>
            </w:r>
          </w:p>
        </w:tc>
        <w:tc>
          <w:tcPr>
            <w:tcW w:w="960" w:type="dxa"/>
            <w:tcBorders>
              <w:top w:val="nil"/>
              <w:left w:val="nil"/>
              <w:bottom w:val="single" w:sz="4" w:space="0" w:color="auto"/>
              <w:right w:val="single" w:sz="4" w:space="0" w:color="auto"/>
            </w:tcBorders>
            <w:shd w:val="clear" w:color="auto" w:fill="auto"/>
            <w:noWrap/>
            <w:vAlign w:val="center"/>
            <w:hideMark/>
          </w:tcPr>
          <w:p w14:paraId="7956AA2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2020/01/29</w:t>
            </w:r>
          </w:p>
        </w:tc>
        <w:tc>
          <w:tcPr>
            <w:tcW w:w="1540" w:type="dxa"/>
            <w:tcBorders>
              <w:top w:val="nil"/>
              <w:left w:val="nil"/>
              <w:bottom w:val="single" w:sz="4" w:space="0" w:color="auto"/>
              <w:right w:val="single" w:sz="4" w:space="0" w:color="auto"/>
            </w:tcBorders>
            <w:shd w:val="clear" w:color="auto" w:fill="auto"/>
            <w:noWrap/>
            <w:vAlign w:val="center"/>
            <w:hideMark/>
          </w:tcPr>
          <w:p w14:paraId="0CC9A67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2.561.978.236 </w:t>
            </w:r>
          </w:p>
        </w:tc>
      </w:tr>
      <w:tr w:rsidR="00826439" w:rsidRPr="00826439" w14:paraId="5802227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B74825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w:t>
            </w:r>
          </w:p>
        </w:tc>
        <w:tc>
          <w:tcPr>
            <w:tcW w:w="1160" w:type="dxa"/>
            <w:tcBorders>
              <w:top w:val="nil"/>
              <w:left w:val="nil"/>
              <w:bottom w:val="single" w:sz="4" w:space="0" w:color="auto"/>
              <w:right w:val="single" w:sz="4" w:space="0" w:color="auto"/>
            </w:tcBorders>
            <w:shd w:val="clear" w:color="auto" w:fill="auto"/>
            <w:noWrap/>
            <w:vAlign w:val="center"/>
            <w:hideMark/>
          </w:tcPr>
          <w:p w14:paraId="1FB9B37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32262D2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1.266.960.580 </w:t>
            </w:r>
          </w:p>
        </w:tc>
        <w:tc>
          <w:tcPr>
            <w:tcW w:w="640" w:type="dxa"/>
            <w:tcBorders>
              <w:top w:val="nil"/>
              <w:left w:val="nil"/>
              <w:bottom w:val="single" w:sz="4" w:space="0" w:color="auto"/>
              <w:right w:val="single" w:sz="4" w:space="0" w:color="auto"/>
            </w:tcBorders>
            <w:shd w:val="clear" w:color="auto" w:fill="auto"/>
            <w:noWrap/>
            <w:vAlign w:val="center"/>
            <w:hideMark/>
          </w:tcPr>
          <w:p w14:paraId="7D9FEE7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122240</w:t>
            </w:r>
          </w:p>
        </w:tc>
        <w:tc>
          <w:tcPr>
            <w:tcW w:w="840" w:type="dxa"/>
            <w:tcBorders>
              <w:top w:val="nil"/>
              <w:left w:val="nil"/>
              <w:bottom w:val="single" w:sz="4" w:space="0" w:color="auto"/>
              <w:right w:val="single" w:sz="4" w:space="0" w:color="auto"/>
            </w:tcBorders>
            <w:shd w:val="clear" w:color="auto" w:fill="auto"/>
            <w:noWrap/>
            <w:vAlign w:val="center"/>
            <w:hideMark/>
          </w:tcPr>
          <w:p w14:paraId="7B8D14C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184</w:t>
            </w:r>
          </w:p>
        </w:tc>
        <w:tc>
          <w:tcPr>
            <w:tcW w:w="760" w:type="dxa"/>
            <w:tcBorders>
              <w:top w:val="nil"/>
              <w:left w:val="nil"/>
              <w:bottom w:val="single" w:sz="4" w:space="0" w:color="auto"/>
              <w:right w:val="single" w:sz="4" w:space="0" w:color="auto"/>
            </w:tcBorders>
            <w:shd w:val="clear" w:color="auto" w:fill="auto"/>
            <w:noWrap/>
            <w:vAlign w:val="center"/>
            <w:hideMark/>
          </w:tcPr>
          <w:p w14:paraId="6E6277A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5294EA0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35E3F15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2019/07/29</w:t>
            </w:r>
          </w:p>
        </w:tc>
        <w:tc>
          <w:tcPr>
            <w:tcW w:w="960" w:type="dxa"/>
            <w:tcBorders>
              <w:top w:val="nil"/>
              <w:left w:val="nil"/>
              <w:bottom w:val="single" w:sz="4" w:space="0" w:color="auto"/>
              <w:right w:val="single" w:sz="4" w:space="0" w:color="auto"/>
            </w:tcBorders>
            <w:shd w:val="clear" w:color="auto" w:fill="auto"/>
            <w:noWrap/>
            <w:vAlign w:val="center"/>
            <w:hideMark/>
          </w:tcPr>
          <w:p w14:paraId="04ADFFF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2020/01/29</w:t>
            </w:r>
          </w:p>
        </w:tc>
        <w:tc>
          <w:tcPr>
            <w:tcW w:w="1540" w:type="dxa"/>
            <w:tcBorders>
              <w:top w:val="nil"/>
              <w:left w:val="nil"/>
              <w:bottom w:val="single" w:sz="4" w:space="0" w:color="auto"/>
              <w:right w:val="single" w:sz="4" w:space="0" w:color="auto"/>
            </w:tcBorders>
            <w:shd w:val="clear" w:color="auto" w:fill="auto"/>
            <w:noWrap/>
            <w:vAlign w:val="center"/>
            <w:hideMark/>
          </w:tcPr>
          <w:p w14:paraId="2241F93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1.292.699.435 </w:t>
            </w:r>
          </w:p>
        </w:tc>
      </w:tr>
      <w:tr w:rsidR="00826439" w:rsidRPr="00826439" w14:paraId="646640C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4F23D7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w:t>
            </w:r>
          </w:p>
        </w:tc>
        <w:tc>
          <w:tcPr>
            <w:tcW w:w="1160" w:type="dxa"/>
            <w:tcBorders>
              <w:top w:val="nil"/>
              <w:left w:val="nil"/>
              <w:bottom w:val="single" w:sz="4" w:space="0" w:color="auto"/>
              <w:right w:val="single" w:sz="4" w:space="0" w:color="auto"/>
            </w:tcBorders>
            <w:shd w:val="clear" w:color="auto" w:fill="auto"/>
            <w:noWrap/>
            <w:vAlign w:val="center"/>
            <w:hideMark/>
          </w:tcPr>
          <w:p w14:paraId="3C2D34E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2D537BF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2.000.000.000 </w:t>
            </w:r>
          </w:p>
        </w:tc>
        <w:tc>
          <w:tcPr>
            <w:tcW w:w="640" w:type="dxa"/>
            <w:tcBorders>
              <w:top w:val="nil"/>
              <w:left w:val="nil"/>
              <w:bottom w:val="single" w:sz="4" w:space="0" w:color="auto"/>
              <w:right w:val="single" w:sz="4" w:space="0" w:color="auto"/>
            </w:tcBorders>
            <w:shd w:val="clear" w:color="auto" w:fill="auto"/>
            <w:noWrap/>
            <w:vAlign w:val="center"/>
            <w:hideMark/>
          </w:tcPr>
          <w:p w14:paraId="76C7FB8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132073</w:t>
            </w:r>
          </w:p>
        </w:tc>
        <w:tc>
          <w:tcPr>
            <w:tcW w:w="840" w:type="dxa"/>
            <w:tcBorders>
              <w:top w:val="nil"/>
              <w:left w:val="nil"/>
              <w:bottom w:val="single" w:sz="4" w:space="0" w:color="auto"/>
              <w:right w:val="single" w:sz="4" w:space="0" w:color="auto"/>
            </w:tcBorders>
            <w:shd w:val="clear" w:color="auto" w:fill="auto"/>
            <w:noWrap/>
            <w:vAlign w:val="center"/>
            <w:hideMark/>
          </w:tcPr>
          <w:p w14:paraId="7109AF2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1B924DA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4,75%</w:t>
            </w:r>
          </w:p>
        </w:tc>
        <w:tc>
          <w:tcPr>
            <w:tcW w:w="820" w:type="dxa"/>
            <w:tcBorders>
              <w:top w:val="nil"/>
              <w:left w:val="nil"/>
              <w:bottom w:val="single" w:sz="4" w:space="0" w:color="auto"/>
              <w:right w:val="single" w:sz="4" w:space="0" w:color="auto"/>
            </w:tcBorders>
            <w:shd w:val="clear" w:color="auto" w:fill="auto"/>
            <w:noWrap/>
            <w:vAlign w:val="center"/>
            <w:hideMark/>
          </w:tcPr>
          <w:p w14:paraId="56B9E6B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4,69%</w:t>
            </w:r>
          </w:p>
        </w:tc>
        <w:tc>
          <w:tcPr>
            <w:tcW w:w="760" w:type="dxa"/>
            <w:tcBorders>
              <w:top w:val="nil"/>
              <w:left w:val="nil"/>
              <w:bottom w:val="single" w:sz="4" w:space="0" w:color="auto"/>
              <w:right w:val="single" w:sz="4" w:space="0" w:color="auto"/>
            </w:tcBorders>
            <w:shd w:val="clear" w:color="auto" w:fill="auto"/>
            <w:noWrap/>
            <w:vAlign w:val="center"/>
            <w:hideMark/>
          </w:tcPr>
          <w:p w14:paraId="34D40B2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2019/07/29</w:t>
            </w:r>
          </w:p>
        </w:tc>
        <w:tc>
          <w:tcPr>
            <w:tcW w:w="960" w:type="dxa"/>
            <w:tcBorders>
              <w:top w:val="nil"/>
              <w:left w:val="nil"/>
              <w:bottom w:val="single" w:sz="4" w:space="0" w:color="auto"/>
              <w:right w:val="single" w:sz="4" w:space="0" w:color="auto"/>
            </w:tcBorders>
            <w:shd w:val="clear" w:color="auto" w:fill="auto"/>
            <w:noWrap/>
            <w:vAlign w:val="center"/>
            <w:hideMark/>
          </w:tcPr>
          <w:p w14:paraId="45BC1AB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2020/01/29</w:t>
            </w:r>
          </w:p>
        </w:tc>
        <w:tc>
          <w:tcPr>
            <w:tcW w:w="1540" w:type="dxa"/>
            <w:tcBorders>
              <w:top w:val="nil"/>
              <w:left w:val="nil"/>
              <w:bottom w:val="single" w:sz="4" w:space="0" w:color="auto"/>
              <w:right w:val="single" w:sz="4" w:space="0" w:color="auto"/>
            </w:tcBorders>
            <w:shd w:val="clear" w:color="auto" w:fill="auto"/>
            <w:noWrap/>
            <w:vAlign w:val="center"/>
            <w:hideMark/>
          </w:tcPr>
          <w:p w14:paraId="5C592ED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2.039.476.922 </w:t>
            </w:r>
          </w:p>
        </w:tc>
      </w:tr>
      <w:tr w:rsidR="00826439" w:rsidRPr="00826439" w14:paraId="47EED5B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1CFC9E4"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w:t>
            </w:r>
          </w:p>
        </w:tc>
        <w:tc>
          <w:tcPr>
            <w:tcW w:w="1160" w:type="dxa"/>
            <w:tcBorders>
              <w:top w:val="nil"/>
              <w:left w:val="nil"/>
              <w:bottom w:val="single" w:sz="4" w:space="0" w:color="auto"/>
              <w:right w:val="single" w:sz="4" w:space="0" w:color="auto"/>
            </w:tcBorders>
            <w:shd w:val="clear" w:color="auto" w:fill="auto"/>
            <w:noWrap/>
            <w:vAlign w:val="center"/>
            <w:hideMark/>
          </w:tcPr>
          <w:p w14:paraId="5B81012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7F15058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6.550.562.581 </w:t>
            </w:r>
          </w:p>
        </w:tc>
        <w:tc>
          <w:tcPr>
            <w:tcW w:w="640" w:type="dxa"/>
            <w:tcBorders>
              <w:top w:val="nil"/>
              <w:left w:val="nil"/>
              <w:bottom w:val="single" w:sz="4" w:space="0" w:color="auto"/>
              <w:right w:val="single" w:sz="4" w:space="0" w:color="auto"/>
            </w:tcBorders>
            <w:shd w:val="clear" w:color="auto" w:fill="auto"/>
            <w:noWrap/>
            <w:vAlign w:val="center"/>
            <w:hideMark/>
          </w:tcPr>
          <w:p w14:paraId="64823B9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68471</w:t>
            </w:r>
          </w:p>
        </w:tc>
        <w:tc>
          <w:tcPr>
            <w:tcW w:w="840" w:type="dxa"/>
            <w:tcBorders>
              <w:top w:val="nil"/>
              <w:left w:val="nil"/>
              <w:bottom w:val="single" w:sz="4" w:space="0" w:color="auto"/>
              <w:right w:val="single" w:sz="4" w:space="0" w:color="auto"/>
            </w:tcBorders>
            <w:shd w:val="clear" w:color="auto" w:fill="auto"/>
            <w:noWrap/>
            <w:vAlign w:val="center"/>
            <w:hideMark/>
          </w:tcPr>
          <w:p w14:paraId="73354CE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5ED3F81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5,20%</w:t>
            </w:r>
          </w:p>
        </w:tc>
        <w:tc>
          <w:tcPr>
            <w:tcW w:w="820" w:type="dxa"/>
            <w:tcBorders>
              <w:top w:val="nil"/>
              <w:left w:val="nil"/>
              <w:bottom w:val="single" w:sz="4" w:space="0" w:color="auto"/>
              <w:right w:val="single" w:sz="4" w:space="0" w:color="auto"/>
            </w:tcBorders>
            <w:shd w:val="clear" w:color="auto" w:fill="auto"/>
            <w:noWrap/>
            <w:vAlign w:val="center"/>
            <w:hideMark/>
          </w:tcPr>
          <w:p w14:paraId="04E21B0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5,17%</w:t>
            </w:r>
          </w:p>
        </w:tc>
        <w:tc>
          <w:tcPr>
            <w:tcW w:w="760" w:type="dxa"/>
            <w:tcBorders>
              <w:top w:val="nil"/>
              <w:left w:val="nil"/>
              <w:bottom w:val="single" w:sz="4" w:space="0" w:color="auto"/>
              <w:right w:val="single" w:sz="4" w:space="0" w:color="auto"/>
            </w:tcBorders>
            <w:shd w:val="clear" w:color="auto" w:fill="auto"/>
            <w:noWrap/>
            <w:vAlign w:val="center"/>
            <w:hideMark/>
          </w:tcPr>
          <w:p w14:paraId="7133684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2019/04/29</w:t>
            </w:r>
          </w:p>
        </w:tc>
        <w:tc>
          <w:tcPr>
            <w:tcW w:w="960" w:type="dxa"/>
            <w:tcBorders>
              <w:top w:val="nil"/>
              <w:left w:val="nil"/>
              <w:bottom w:val="single" w:sz="4" w:space="0" w:color="auto"/>
              <w:right w:val="single" w:sz="4" w:space="0" w:color="auto"/>
            </w:tcBorders>
            <w:shd w:val="clear" w:color="auto" w:fill="auto"/>
            <w:noWrap/>
            <w:vAlign w:val="center"/>
            <w:hideMark/>
          </w:tcPr>
          <w:p w14:paraId="5C34675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2020/01/29</w:t>
            </w:r>
          </w:p>
        </w:tc>
        <w:tc>
          <w:tcPr>
            <w:tcW w:w="1540" w:type="dxa"/>
            <w:tcBorders>
              <w:top w:val="nil"/>
              <w:left w:val="nil"/>
              <w:bottom w:val="single" w:sz="4" w:space="0" w:color="auto"/>
              <w:right w:val="single" w:sz="4" w:space="0" w:color="auto"/>
            </w:tcBorders>
            <w:shd w:val="clear" w:color="auto" w:fill="auto"/>
            <w:noWrap/>
            <w:vAlign w:val="center"/>
            <w:hideMark/>
          </w:tcPr>
          <w:p w14:paraId="616DAF6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6.777.186.046 </w:t>
            </w:r>
          </w:p>
        </w:tc>
      </w:tr>
      <w:tr w:rsidR="00826439" w:rsidRPr="00826439" w14:paraId="17795C7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08A8CE7"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12</w:t>
            </w:r>
          </w:p>
        </w:tc>
        <w:tc>
          <w:tcPr>
            <w:tcW w:w="1160" w:type="dxa"/>
            <w:tcBorders>
              <w:top w:val="nil"/>
              <w:left w:val="nil"/>
              <w:bottom w:val="single" w:sz="4" w:space="0" w:color="auto"/>
              <w:right w:val="single" w:sz="4" w:space="0" w:color="auto"/>
            </w:tcBorders>
            <w:shd w:val="clear" w:color="auto" w:fill="auto"/>
            <w:noWrap/>
            <w:vAlign w:val="center"/>
            <w:hideMark/>
          </w:tcPr>
          <w:p w14:paraId="4E4C3A3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ITAU</w:t>
            </w:r>
          </w:p>
        </w:tc>
        <w:tc>
          <w:tcPr>
            <w:tcW w:w="1480" w:type="dxa"/>
            <w:tcBorders>
              <w:top w:val="nil"/>
              <w:left w:val="nil"/>
              <w:bottom w:val="single" w:sz="4" w:space="0" w:color="auto"/>
              <w:right w:val="single" w:sz="4" w:space="0" w:color="auto"/>
            </w:tcBorders>
            <w:shd w:val="clear" w:color="auto" w:fill="auto"/>
            <w:noWrap/>
            <w:vAlign w:val="center"/>
            <w:hideMark/>
          </w:tcPr>
          <w:p w14:paraId="5D61D73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3.759.898.483 </w:t>
            </w:r>
          </w:p>
        </w:tc>
        <w:tc>
          <w:tcPr>
            <w:tcW w:w="640" w:type="dxa"/>
            <w:tcBorders>
              <w:top w:val="nil"/>
              <w:left w:val="nil"/>
              <w:bottom w:val="single" w:sz="4" w:space="0" w:color="auto"/>
              <w:right w:val="single" w:sz="4" w:space="0" w:color="auto"/>
            </w:tcBorders>
            <w:shd w:val="clear" w:color="auto" w:fill="auto"/>
            <w:noWrap/>
            <w:vAlign w:val="center"/>
            <w:hideMark/>
          </w:tcPr>
          <w:p w14:paraId="0D8B7D7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133881</w:t>
            </w:r>
          </w:p>
        </w:tc>
        <w:tc>
          <w:tcPr>
            <w:tcW w:w="840" w:type="dxa"/>
            <w:tcBorders>
              <w:top w:val="nil"/>
              <w:left w:val="nil"/>
              <w:bottom w:val="single" w:sz="4" w:space="0" w:color="auto"/>
              <w:right w:val="single" w:sz="4" w:space="0" w:color="auto"/>
            </w:tcBorders>
            <w:shd w:val="clear" w:color="auto" w:fill="auto"/>
            <w:noWrap/>
            <w:vAlign w:val="center"/>
            <w:hideMark/>
          </w:tcPr>
          <w:p w14:paraId="3B59993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151</w:t>
            </w:r>
          </w:p>
        </w:tc>
        <w:tc>
          <w:tcPr>
            <w:tcW w:w="760" w:type="dxa"/>
            <w:tcBorders>
              <w:top w:val="nil"/>
              <w:left w:val="nil"/>
              <w:bottom w:val="single" w:sz="4" w:space="0" w:color="auto"/>
              <w:right w:val="single" w:sz="4" w:space="0" w:color="auto"/>
            </w:tcBorders>
            <w:shd w:val="clear" w:color="auto" w:fill="auto"/>
            <w:noWrap/>
            <w:vAlign w:val="center"/>
            <w:hideMark/>
          </w:tcPr>
          <w:p w14:paraId="7758DD4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4,78%</w:t>
            </w:r>
          </w:p>
        </w:tc>
        <w:tc>
          <w:tcPr>
            <w:tcW w:w="820" w:type="dxa"/>
            <w:tcBorders>
              <w:top w:val="nil"/>
              <w:left w:val="nil"/>
              <w:bottom w:val="single" w:sz="4" w:space="0" w:color="auto"/>
              <w:right w:val="single" w:sz="4" w:space="0" w:color="auto"/>
            </w:tcBorders>
            <w:shd w:val="clear" w:color="auto" w:fill="auto"/>
            <w:noWrap/>
            <w:vAlign w:val="center"/>
            <w:hideMark/>
          </w:tcPr>
          <w:p w14:paraId="272CD88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4,72%</w:t>
            </w:r>
          </w:p>
        </w:tc>
        <w:tc>
          <w:tcPr>
            <w:tcW w:w="760" w:type="dxa"/>
            <w:tcBorders>
              <w:top w:val="nil"/>
              <w:left w:val="nil"/>
              <w:bottom w:val="single" w:sz="4" w:space="0" w:color="auto"/>
              <w:right w:val="single" w:sz="4" w:space="0" w:color="auto"/>
            </w:tcBorders>
            <w:shd w:val="clear" w:color="auto" w:fill="auto"/>
            <w:noWrap/>
            <w:vAlign w:val="center"/>
            <w:hideMark/>
          </w:tcPr>
          <w:p w14:paraId="7E7AE19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2019/09/04</w:t>
            </w:r>
          </w:p>
        </w:tc>
        <w:tc>
          <w:tcPr>
            <w:tcW w:w="960" w:type="dxa"/>
            <w:tcBorders>
              <w:top w:val="nil"/>
              <w:left w:val="nil"/>
              <w:bottom w:val="single" w:sz="4" w:space="0" w:color="auto"/>
              <w:right w:val="single" w:sz="4" w:space="0" w:color="auto"/>
            </w:tcBorders>
            <w:shd w:val="clear" w:color="auto" w:fill="auto"/>
            <w:noWrap/>
            <w:vAlign w:val="center"/>
            <w:hideMark/>
          </w:tcPr>
          <w:p w14:paraId="4B2D736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2020/02/05</w:t>
            </w:r>
          </w:p>
        </w:tc>
        <w:tc>
          <w:tcPr>
            <w:tcW w:w="1540" w:type="dxa"/>
            <w:tcBorders>
              <w:top w:val="nil"/>
              <w:left w:val="nil"/>
              <w:bottom w:val="single" w:sz="4" w:space="0" w:color="auto"/>
              <w:right w:val="single" w:sz="4" w:space="0" w:color="auto"/>
            </w:tcBorders>
            <w:shd w:val="clear" w:color="auto" w:fill="auto"/>
            <w:noWrap/>
            <w:vAlign w:val="center"/>
            <w:hideMark/>
          </w:tcPr>
          <w:p w14:paraId="29B1724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3.816.747.644 </w:t>
            </w:r>
          </w:p>
        </w:tc>
      </w:tr>
      <w:tr w:rsidR="00826439" w:rsidRPr="00826439" w14:paraId="493BF578"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5DE13A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13</w:t>
            </w:r>
          </w:p>
        </w:tc>
        <w:tc>
          <w:tcPr>
            <w:tcW w:w="1160" w:type="dxa"/>
            <w:tcBorders>
              <w:top w:val="nil"/>
              <w:left w:val="nil"/>
              <w:bottom w:val="single" w:sz="4" w:space="0" w:color="auto"/>
              <w:right w:val="single" w:sz="4" w:space="0" w:color="auto"/>
            </w:tcBorders>
            <w:shd w:val="clear" w:color="auto" w:fill="auto"/>
            <w:noWrap/>
            <w:vAlign w:val="center"/>
            <w:hideMark/>
          </w:tcPr>
          <w:p w14:paraId="53A5E61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ITAU</w:t>
            </w:r>
          </w:p>
        </w:tc>
        <w:tc>
          <w:tcPr>
            <w:tcW w:w="1480" w:type="dxa"/>
            <w:tcBorders>
              <w:top w:val="nil"/>
              <w:left w:val="nil"/>
              <w:bottom w:val="single" w:sz="4" w:space="0" w:color="auto"/>
              <w:right w:val="single" w:sz="4" w:space="0" w:color="auto"/>
            </w:tcBorders>
            <w:shd w:val="clear" w:color="auto" w:fill="auto"/>
            <w:noWrap/>
            <w:vAlign w:val="center"/>
            <w:hideMark/>
          </w:tcPr>
          <w:p w14:paraId="1E79893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5.000.000.000 </w:t>
            </w:r>
          </w:p>
        </w:tc>
        <w:tc>
          <w:tcPr>
            <w:tcW w:w="640" w:type="dxa"/>
            <w:tcBorders>
              <w:top w:val="nil"/>
              <w:left w:val="nil"/>
              <w:bottom w:val="single" w:sz="4" w:space="0" w:color="auto"/>
              <w:right w:val="single" w:sz="4" w:space="0" w:color="auto"/>
            </w:tcBorders>
            <w:shd w:val="clear" w:color="auto" w:fill="auto"/>
            <w:noWrap/>
            <w:vAlign w:val="center"/>
            <w:hideMark/>
          </w:tcPr>
          <w:p w14:paraId="379253B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133882</w:t>
            </w:r>
          </w:p>
        </w:tc>
        <w:tc>
          <w:tcPr>
            <w:tcW w:w="840" w:type="dxa"/>
            <w:tcBorders>
              <w:top w:val="nil"/>
              <w:left w:val="nil"/>
              <w:bottom w:val="single" w:sz="4" w:space="0" w:color="auto"/>
              <w:right w:val="single" w:sz="4" w:space="0" w:color="auto"/>
            </w:tcBorders>
            <w:shd w:val="clear" w:color="auto" w:fill="auto"/>
            <w:noWrap/>
            <w:vAlign w:val="center"/>
            <w:hideMark/>
          </w:tcPr>
          <w:p w14:paraId="03A308B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151</w:t>
            </w:r>
          </w:p>
        </w:tc>
        <w:tc>
          <w:tcPr>
            <w:tcW w:w="760" w:type="dxa"/>
            <w:tcBorders>
              <w:top w:val="nil"/>
              <w:left w:val="nil"/>
              <w:bottom w:val="single" w:sz="4" w:space="0" w:color="auto"/>
              <w:right w:val="single" w:sz="4" w:space="0" w:color="auto"/>
            </w:tcBorders>
            <w:shd w:val="clear" w:color="auto" w:fill="auto"/>
            <w:noWrap/>
            <w:vAlign w:val="center"/>
            <w:hideMark/>
          </w:tcPr>
          <w:p w14:paraId="2092683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4,78%</w:t>
            </w:r>
          </w:p>
        </w:tc>
        <w:tc>
          <w:tcPr>
            <w:tcW w:w="820" w:type="dxa"/>
            <w:tcBorders>
              <w:top w:val="nil"/>
              <w:left w:val="nil"/>
              <w:bottom w:val="single" w:sz="4" w:space="0" w:color="auto"/>
              <w:right w:val="single" w:sz="4" w:space="0" w:color="auto"/>
            </w:tcBorders>
            <w:shd w:val="clear" w:color="auto" w:fill="auto"/>
            <w:noWrap/>
            <w:vAlign w:val="center"/>
            <w:hideMark/>
          </w:tcPr>
          <w:p w14:paraId="2BB5CD7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4,72%</w:t>
            </w:r>
          </w:p>
        </w:tc>
        <w:tc>
          <w:tcPr>
            <w:tcW w:w="760" w:type="dxa"/>
            <w:tcBorders>
              <w:top w:val="nil"/>
              <w:left w:val="nil"/>
              <w:bottom w:val="single" w:sz="4" w:space="0" w:color="auto"/>
              <w:right w:val="single" w:sz="4" w:space="0" w:color="auto"/>
            </w:tcBorders>
            <w:shd w:val="clear" w:color="auto" w:fill="auto"/>
            <w:noWrap/>
            <w:vAlign w:val="center"/>
            <w:hideMark/>
          </w:tcPr>
          <w:p w14:paraId="789932B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2019/09/04</w:t>
            </w:r>
          </w:p>
        </w:tc>
        <w:tc>
          <w:tcPr>
            <w:tcW w:w="960" w:type="dxa"/>
            <w:tcBorders>
              <w:top w:val="nil"/>
              <w:left w:val="nil"/>
              <w:bottom w:val="single" w:sz="4" w:space="0" w:color="auto"/>
              <w:right w:val="single" w:sz="4" w:space="0" w:color="auto"/>
            </w:tcBorders>
            <w:shd w:val="clear" w:color="auto" w:fill="auto"/>
            <w:noWrap/>
            <w:vAlign w:val="center"/>
            <w:hideMark/>
          </w:tcPr>
          <w:p w14:paraId="283C5FF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2020/02/05</w:t>
            </w:r>
          </w:p>
        </w:tc>
        <w:tc>
          <w:tcPr>
            <w:tcW w:w="1540" w:type="dxa"/>
            <w:tcBorders>
              <w:top w:val="nil"/>
              <w:left w:val="nil"/>
              <w:bottom w:val="single" w:sz="4" w:space="0" w:color="auto"/>
              <w:right w:val="single" w:sz="4" w:space="0" w:color="auto"/>
            </w:tcBorders>
            <w:shd w:val="clear" w:color="auto" w:fill="auto"/>
            <w:noWrap/>
            <w:vAlign w:val="center"/>
            <w:hideMark/>
          </w:tcPr>
          <w:p w14:paraId="2F396DF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5.075.599.330 </w:t>
            </w:r>
          </w:p>
        </w:tc>
      </w:tr>
      <w:tr w:rsidR="00826439" w:rsidRPr="00826439" w14:paraId="64B5241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C44CF8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14</w:t>
            </w:r>
          </w:p>
        </w:tc>
        <w:tc>
          <w:tcPr>
            <w:tcW w:w="1160" w:type="dxa"/>
            <w:tcBorders>
              <w:top w:val="nil"/>
              <w:left w:val="nil"/>
              <w:bottom w:val="single" w:sz="4" w:space="0" w:color="auto"/>
              <w:right w:val="single" w:sz="4" w:space="0" w:color="auto"/>
            </w:tcBorders>
            <w:shd w:val="clear" w:color="auto" w:fill="auto"/>
            <w:noWrap/>
            <w:vAlign w:val="center"/>
            <w:hideMark/>
          </w:tcPr>
          <w:p w14:paraId="16DABDE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60B3CF1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5.569.541.456 </w:t>
            </w:r>
          </w:p>
        </w:tc>
        <w:tc>
          <w:tcPr>
            <w:tcW w:w="640" w:type="dxa"/>
            <w:tcBorders>
              <w:top w:val="nil"/>
              <w:left w:val="nil"/>
              <w:bottom w:val="single" w:sz="4" w:space="0" w:color="auto"/>
              <w:right w:val="single" w:sz="4" w:space="0" w:color="auto"/>
            </w:tcBorders>
            <w:shd w:val="clear" w:color="auto" w:fill="auto"/>
            <w:noWrap/>
            <w:vAlign w:val="center"/>
            <w:hideMark/>
          </w:tcPr>
          <w:p w14:paraId="6D1C511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88895</w:t>
            </w:r>
          </w:p>
        </w:tc>
        <w:tc>
          <w:tcPr>
            <w:tcW w:w="840" w:type="dxa"/>
            <w:tcBorders>
              <w:top w:val="nil"/>
              <w:left w:val="nil"/>
              <w:bottom w:val="single" w:sz="4" w:space="0" w:color="auto"/>
              <w:right w:val="single" w:sz="4" w:space="0" w:color="auto"/>
            </w:tcBorders>
            <w:shd w:val="clear" w:color="auto" w:fill="auto"/>
            <w:noWrap/>
            <w:vAlign w:val="center"/>
            <w:hideMark/>
          </w:tcPr>
          <w:p w14:paraId="7260A25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0041F27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7CFEFAD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5CE92A5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2019/06/05</w:t>
            </w:r>
          </w:p>
        </w:tc>
        <w:tc>
          <w:tcPr>
            <w:tcW w:w="960" w:type="dxa"/>
            <w:tcBorders>
              <w:top w:val="nil"/>
              <w:left w:val="nil"/>
              <w:bottom w:val="single" w:sz="4" w:space="0" w:color="auto"/>
              <w:right w:val="single" w:sz="4" w:space="0" w:color="auto"/>
            </w:tcBorders>
            <w:shd w:val="clear" w:color="auto" w:fill="auto"/>
            <w:noWrap/>
            <w:vAlign w:val="center"/>
            <w:hideMark/>
          </w:tcPr>
          <w:p w14:paraId="780A7B4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2020/02/05</w:t>
            </w:r>
          </w:p>
        </w:tc>
        <w:tc>
          <w:tcPr>
            <w:tcW w:w="1540" w:type="dxa"/>
            <w:tcBorders>
              <w:top w:val="nil"/>
              <w:left w:val="nil"/>
              <w:bottom w:val="single" w:sz="4" w:space="0" w:color="auto"/>
              <w:right w:val="single" w:sz="4" w:space="0" w:color="auto"/>
            </w:tcBorders>
            <w:shd w:val="clear" w:color="auto" w:fill="auto"/>
            <w:noWrap/>
            <w:vAlign w:val="center"/>
            <w:hideMark/>
          </w:tcPr>
          <w:p w14:paraId="452983E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5.729.346.068 </w:t>
            </w:r>
          </w:p>
        </w:tc>
      </w:tr>
      <w:tr w:rsidR="00826439" w:rsidRPr="00826439" w14:paraId="1334FDB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4360F3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15</w:t>
            </w:r>
          </w:p>
        </w:tc>
        <w:tc>
          <w:tcPr>
            <w:tcW w:w="1160" w:type="dxa"/>
            <w:tcBorders>
              <w:top w:val="nil"/>
              <w:left w:val="nil"/>
              <w:bottom w:val="single" w:sz="4" w:space="0" w:color="auto"/>
              <w:right w:val="single" w:sz="4" w:space="0" w:color="auto"/>
            </w:tcBorders>
            <w:shd w:val="clear" w:color="auto" w:fill="auto"/>
            <w:noWrap/>
            <w:vAlign w:val="center"/>
            <w:hideMark/>
          </w:tcPr>
          <w:p w14:paraId="78F1DBA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7183DA5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2.221.064.179 </w:t>
            </w:r>
          </w:p>
        </w:tc>
        <w:tc>
          <w:tcPr>
            <w:tcW w:w="640" w:type="dxa"/>
            <w:tcBorders>
              <w:top w:val="nil"/>
              <w:left w:val="nil"/>
              <w:bottom w:val="single" w:sz="4" w:space="0" w:color="auto"/>
              <w:right w:val="single" w:sz="4" w:space="0" w:color="auto"/>
            </w:tcBorders>
            <w:shd w:val="clear" w:color="auto" w:fill="auto"/>
            <w:noWrap/>
            <w:vAlign w:val="center"/>
            <w:hideMark/>
          </w:tcPr>
          <w:p w14:paraId="6A5B816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88894</w:t>
            </w:r>
          </w:p>
        </w:tc>
        <w:tc>
          <w:tcPr>
            <w:tcW w:w="840" w:type="dxa"/>
            <w:tcBorders>
              <w:top w:val="nil"/>
              <w:left w:val="nil"/>
              <w:bottom w:val="single" w:sz="4" w:space="0" w:color="auto"/>
              <w:right w:val="single" w:sz="4" w:space="0" w:color="auto"/>
            </w:tcBorders>
            <w:shd w:val="clear" w:color="auto" w:fill="auto"/>
            <w:noWrap/>
            <w:vAlign w:val="center"/>
            <w:hideMark/>
          </w:tcPr>
          <w:p w14:paraId="537F87B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5E86154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58EC100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73309D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2019/06/05</w:t>
            </w:r>
          </w:p>
        </w:tc>
        <w:tc>
          <w:tcPr>
            <w:tcW w:w="960" w:type="dxa"/>
            <w:tcBorders>
              <w:top w:val="nil"/>
              <w:left w:val="nil"/>
              <w:bottom w:val="single" w:sz="4" w:space="0" w:color="auto"/>
              <w:right w:val="single" w:sz="4" w:space="0" w:color="auto"/>
            </w:tcBorders>
            <w:shd w:val="clear" w:color="auto" w:fill="auto"/>
            <w:noWrap/>
            <w:vAlign w:val="center"/>
            <w:hideMark/>
          </w:tcPr>
          <w:p w14:paraId="2B23EFC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2020/02/05</w:t>
            </w:r>
          </w:p>
        </w:tc>
        <w:tc>
          <w:tcPr>
            <w:tcW w:w="1540" w:type="dxa"/>
            <w:tcBorders>
              <w:top w:val="nil"/>
              <w:left w:val="nil"/>
              <w:bottom w:val="single" w:sz="4" w:space="0" w:color="auto"/>
              <w:right w:val="single" w:sz="4" w:space="0" w:color="auto"/>
            </w:tcBorders>
            <w:shd w:val="clear" w:color="auto" w:fill="auto"/>
            <w:noWrap/>
            <w:vAlign w:val="center"/>
            <w:hideMark/>
          </w:tcPr>
          <w:p w14:paraId="1CB2D22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2.284.792.280 </w:t>
            </w:r>
          </w:p>
        </w:tc>
      </w:tr>
      <w:tr w:rsidR="00826439" w:rsidRPr="00826439" w14:paraId="11F3719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2F6C76C"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16</w:t>
            </w:r>
          </w:p>
        </w:tc>
        <w:tc>
          <w:tcPr>
            <w:tcW w:w="1160" w:type="dxa"/>
            <w:tcBorders>
              <w:top w:val="nil"/>
              <w:left w:val="nil"/>
              <w:bottom w:val="single" w:sz="4" w:space="0" w:color="auto"/>
              <w:right w:val="single" w:sz="4" w:space="0" w:color="auto"/>
            </w:tcBorders>
            <w:shd w:val="clear" w:color="auto" w:fill="auto"/>
            <w:noWrap/>
            <w:vAlign w:val="center"/>
            <w:hideMark/>
          </w:tcPr>
          <w:p w14:paraId="004D67E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3498EC4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12.819.913.714 </w:t>
            </w:r>
          </w:p>
        </w:tc>
        <w:tc>
          <w:tcPr>
            <w:tcW w:w="640" w:type="dxa"/>
            <w:tcBorders>
              <w:top w:val="nil"/>
              <w:left w:val="nil"/>
              <w:bottom w:val="single" w:sz="4" w:space="0" w:color="auto"/>
              <w:right w:val="single" w:sz="4" w:space="0" w:color="auto"/>
            </w:tcBorders>
            <w:shd w:val="clear" w:color="auto" w:fill="auto"/>
            <w:noWrap/>
            <w:vAlign w:val="center"/>
            <w:hideMark/>
          </w:tcPr>
          <w:p w14:paraId="69AE33D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75658</w:t>
            </w:r>
          </w:p>
        </w:tc>
        <w:tc>
          <w:tcPr>
            <w:tcW w:w="840" w:type="dxa"/>
            <w:tcBorders>
              <w:top w:val="nil"/>
              <w:left w:val="nil"/>
              <w:bottom w:val="single" w:sz="4" w:space="0" w:color="auto"/>
              <w:right w:val="single" w:sz="4" w:space="0" w:color="auto"/>
            </w:tcBorders>
            <w:shd w:val="clear" w:color="auto" w:fill="auto"/>
            <w:noWrap/>
            <w:vAlign w:val="center"/>
            <w:hideMark/>
          </w:tcPr>
          <w:p w14:paraId="5B06CC1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2ED06F2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5,20%</w:t>
            </w:r>
          </w:p>
        </w:tc>
        <w:tc>
          <w:tcPr>
            <w:tcW w:w="820" w:type="dxa"/>
            <w:tcBorders>
              <w:top w:val="nil"/>
              <w:left w:val="nil"/>
              <w:bottom w:val="single" w:sz="4" w:space="0" w:color="auto"/>
              <w:right w:val="single" w:sz="4" w:space="0" w:color="auto"/>
            </w:tcBorders>
            <w:shd w:val="clear" w:color="auto" w:fill="auto"/>
            <w:noWrap/>
            <w:vAlign w:val="center"/>
            <w:hideMark/>
          </w:tcPr>
          <w:p w14:paraId="0D456BD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5,17%</w:t>
            </w:r>
          </w:p>
        </w:tc>
        <w:tc>
          <w:tcPr>
            <w:tcW w:w="760" w:type="dxa"/>
            <w:tcBorders>
              <w:top w:val="nil"/>
              <w:left w:val="nil"/>
              <w:bottom w:val="single" w:sz="4" w:space="0" w:color="auto"/>
              <w:right w:val="single" w:sz="4" w:space="0" w:color="auto"/>
            </w:tcBorders>
            <w:shd w:val="clear" w:color="auto" w:fill="auto"/>
            <w:noWrap/>
            <w:vAlign w:val="center"/>
            <w:hideMark/>
          </w:tcPr>
          <w:p w14:paraId="3B45BDF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2019/05/10</w:t>
            </w:r>
          </w:p>
        </w:tc>
        <w:tc>
          <w:tcPr>
            <w:tcW w:w="960" w:type="dxa"/>
            <w:tcBorders>
              <w:top w:val="nil"/>
              <w:left w:val="nil"/>
              <w:bottom w:val="single" w:sz="4" w:space="0" w:color="auto"/>
              <w:right w:val="single" w:sz="4" w:space="0" w:color="auto"/>
            </w:tcBorders>
            <w:shd w:val="clear" w:color="auto" w:fill="auto"/>
            <w:noWrap/>
            <w:vAlign w:val="center"/>
            <w:hideMark/>
          </w:tcPr>
          <w:p w14:paraId="7D95776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2020/02/10</w:t>
            </w:r>
          </w:p>
        </w:tc>
        <w:tc>
          <w:tcPr>
            <w:tcW w:w="1540" w:type="dxa"/>
            <w:tcBorders>
              <w:top w:val="nil"/>
              <w:left w:val="nil"/>
              <w:bottom w:val="single" w:sz="4" w:space="0" w:color="auto"/>
              <w:right w:val="single" w:sz="4" w:space="0" w:color="auto"/>
            </w:tcBorders>
            <w:shd w:val="clear" w:color="auto" w:fill="auto"/>
            <w:noWrap/>
            <w:vAlign w:val="center"/>
            <w:hideMark/>
          </w:tcPr>
          <w:p w14:paraId="6A13BA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13.241.708.873 </w:t>
            </w:r>
          </w:p>
        </w:tc>
      </w:tr>
      <w:tr w:rsidR="00826439" w:rsidRPr="00826439" w14:paraId="1743E62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359A37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17</w:t>
            </w:r>
          </w:p>
        </w:tc>
        <w:tc>
          <w:tcPr>
            <w:tcW w:w="1160" w:type="dxa"/>
            <w:tcBorders>
              <w:top w:val="nil"/>
              <w:left w:val="nil"/>
              <w:bottom w:val="single" w:sz="4" w:space="0" w:color="auto"/>
              <w:right w:val="single" w:sz="4" w:space="0" w:color="auto"/>
            </w:tcBorders>
            <w:shd w:val="clear" w:color="auto" w:fill="auto"/>
            <w:noWrap/>
            <w:vAlign w:val="center"/>
            <w:hideMark/>
          </w:tcPr>
          <w:p w14:paraId="60E1F95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5827F71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14.480.200.000 </w:t>
            </w:r>
          </w:p>
        </w:tc>
        <w:tc>
          <w:tcPr>
            <w:tcW w:w="640" w:type="dxa"/>
            <w:tcBorders>
              <w:top w:val="nil"/>
              <w:left w:val="nil"/>
              <w:bottom w:val="single" w:sz="4" w:space="0" w:color="auto"/>
              <w:right w:val="single" w:sz="4" w:space="0" w:color="auto"/>
            </w:tcBorders>
            <w:shd w:val="clear" w:color="auto" w:fill="auto"/>
            <w:noWrap/>
            <w:vAlign w:val="center"/>
            <w:hideMark/>
          </w:tcPr>
          <w:p w14:paraId="103E2D4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130437</w:t>
            </w:r>
          </w:p>
        </w:tc>
        <w:tc>
          <w:tcPr>
            <w:tcW w:w="840" w:type="dxa"/>
            <w:tcBorders>
              <w:top w:val="nil"/>
              <w:left w:val="nil"/>
              <w:bottom w:val="single" w:sz="4" w:space="0" w:color="auto"/>
              <w:right w:val="single" w:sz="4" w:space="0" w:color="auto"/>
            </w:tcBorders>
            <w:shd w:val="clear" w:color="auto" w:fill="auto"/>
            <w:noWrap/>
            <w:vAlign w:val="center"/>
            <w:hideMark/>
          </w:tcPr>
          <w:p w14:paraId="3C5CD2E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185</w:t>
            </w:r>
          </w:p>
        </w:tc>
        <w:tc>
          <w:tcPr>
            <w:tcW w:w="760" w:type="dxa"/>
            <w:tcBorders>
              <w:top w:val="nil"/>
              <w:left w:val="nil"/>
              <w:bottom w:val="single" w:sz="4" w:space="0" w:color="auto"/>
              <w:right w:val="single" w:sz="4" w:space="0" w:color="auto"/>
            </w:tcBorders>
            <w:shd w:val="clear" w:color="auto" w:fill="auto"/>
            <w:noWrap/>
            <w:vAlign w:val="center"/>
            <w:hideMark/>
          </w:tcPr>
          <w:p w14:paraId="5014431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345E61E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23DFD77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2019/08/12</w:t>
            </w:r>
          </w:p>
        </w:tc>
        <w:tc>
          <w:tcPr>
            <w:tcW w:w="960" w:type="dxa"/>
            <w:tcBorders>
              <w:top w:val="nil"/>
              <w:left w:val="nil"/>
              <w:bottom w:val="single" w:sz="4" w:space="0" w:color="auto"/>
              <w:right w:val="single" w:sz="4" w:space="0" w:color="auto"/>
            </w:tcBorders>
            <w:shd w:val="clear" w:color="auto" w:fill="auto"/>
            <w:noWrap/>
            <w:vAlign w:val="center"/>
            <w:hideMark/>
          </w:tcPr>
          <w:p w14:paraId="5D5A525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2020/02/13</w:t>
            </w:r>
          </w:p>
        </w:tc>
        <w:tc>
          <w:tcPr>
            <w:tcW w:w="1540" w:type="dxa"/>
            <w:tcBorders>
              <w:top w:val="nil"/>
              <w:left w:val="nil"/>
              <w:bottom w:val="single" w:sz="4" w:space="0" w:color="auto"/>
              <w:right w:val="single" w:sz="4" w:space="0" w:color="auto"/>
            </w:tcBorders>
            <w:shd w:val="clear" w:color="auto" w:fill="auto"/>
            <w:noWrap/>
            <w:vAlign w:val="center"/>
            <w:hideMark/>
          </w:tcPr>
          <w:p w14:paraId="6D169AF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14.744.842.628 </w:t>
            </w:r>
          </w:p>
        </w:tc>
      </w:tr>
      <w:tr w:rsidR="00826439" w:rsidRPr="00826439" w14:paraId="684C64F7"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2E01EC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18</w:t>
            </w:r>
          </w:p>
        </w:tc>
        <w:tc>
          <w:tcPr>
            <w:tcW w:w="1160" w:type="dxa"/>
            <w:tcBorders>
              <w:top w:val="nil"/>
              <w:left w:val="nil"/>
              <w:bottom w:val="single" w:sz="4" w:space="0" w:color="auto"/>
              <w:right w:val="single" w:sz="4" w:space="0" w:color="auto"/>
            </w:tcBorders>
            <w:shd w:val="clear" w:color="auto" w:fill="auto"/>
            <w:noWrap/>
            <w:vAlign w:val="center"/>
            <w:hideMark/>
          </w:tcPr>
          <w:p w14:paraId="0B09D19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12BAA67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12.941.533.127 </w:t>
            </w:r>
          </w:p>
        </w:tc>
        <w:tc>
          <w:tcPr>
            <w:tcW w:w="640" w:type="dxa"/>
            <w:tcBorders>
              <w:top w:val="nil"/>
              <w:left w:val="nil"/>
              <w:bottom w:val="single" w:sz="4" w:space="0" w:color="auto"/>
              <w:right w:val="single" w:sz="4" w:space="0" w:color="auto"/>
            </w:tcBorders>
            <w:shd w:val="clear" w:color="auto" w:fill="auto"/>
            <w:noWrap/>
            <w:vAlign w:val="center"/>
            <w:hideMark/>
          </w:tcPr>
          <w:p w14:paraId="1D91BCF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76188</w:t>
            </w:r>
          </w:p>
        </w:tc>
        <w:tc>
          <w:tcPr>
            <w:tcW w:w="840" w:type="dxa"/>
            <w:tcBorders>
              <w:top w:val="nil"/>
              <w:left w:val="nil"/>
              <w:bottom w:val="single" w:sz="4" w:space="0" w:color="auto"/>
              <w:right w:val="single" w:sz="4" w:space="0" w:color="auto"/>
            </w:tcBorders>
            <w:shd w:val="clear" w:color="auto" w:fill="auto"/>
            <w:noWrap/>
            <w:vAlign w:val="center"/>
            <w:hideMark/>
          </w:tcPr>
          <w:p w14:paraId="7B0B020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7058DBF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5,20%</w:t>
            </w:r>
          </w:p>
        </w:tc>
        <w:tc>
          <w:tcPr>
            <w:tcW w:w="820" w:type="dxa"/>
            <w:tcBorders>
              <w:top w:val="nil"/>
              <w:left w:val="nil"/>
              <w:bottom w:val="single" w:sz="4" w:space="0" w:color="auto"/>
              <w:right w:val="single" w:sz="4" w:space="0" w:color="auto"/>
            </w:tcBorders>
            <w:shd w:val="clear" w:color="auto" w:fill="auto"/>
            <w:noWrap/>
            <w:vAlign w:val="center"/>
            <w:hideMark/>
          </w:tcPr>
          <w:p w14:paraId="1BFC946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5,17%</w:t>
            </w:r>
          </w:p>
        </w:tc>
        <w:tc>
          <w:tcPr>
            <w:tcW w:w="760" w:type="dxa"/>
            <w:tcBorders>
              <w:top w:val="nil"/>
              <w:left w:val="nil"/>
              <w:bottom w:val="single" w:sz="4" w:space="0" w:color="auto"/>
              <w:right w:val="single" w:sz="4" w:space="0" w:color="auto"/>
            </w:tcBorders>
            <w:shd w:val="clear" w:color="auto" w:fill="auto"/>
            <w:noWrap/>
            <w:vAlign w:val="center"/>
            <w:hideMark/>
          </w:tcPr>
          <w:p w14:paraId="43D5703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2019/05/13</w:t>
            </w:r>
          </w:p>
        </w:tc>
        <w:tc>
          <w:tcPr>
            <w:tcW w:w="960" w:type="dxa"/>
            <w:tcBorders>
              <w:top w:val="nil"/>
              <w:left w:val="nil"/>
              <w:bottom w:val="single" w:sz="4" w:space="0" w:color="auto"/>
              <w:right w:val="single" w:sz="4" w:space="0" w:color="auto"/>
            </w:tcBorders>
            <w:shd w:val="clear" w:color="auto" w:fill="auto"/>
            <w:noWrap/>
            <w:vAlign w:val="center"/>
            <w:hideMark/>
          </w:tcPr>
          <w:p w14:paraId="6E3E7D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2020/02/13</w:t>
            </w:r>
          </w:p>
        </w:tc>
        <w:tc>
          <w:tcPr>
            <w:tcW w:w="1540" w:type="dxa"/>
            <w:tcBorders>
              <w:top w:val="nil"/>
              <w:left w:val="nil"/>
              <w:bottom w:val="single" w:sz="4" w:space="0" w:color="auto"/>
              <w:right w:val="single" w:sz="4" w:space="0" w:color="auto"/>
            </w:tcBorders>
            <w:shd w:val="clear" w:color="auto" w:fill="auto"/>
            <w:noWrap/>
            <w:vAlign w:val="center"/>
            <w:hideMark/>
          </w:tcPr>
          <w:p w14:paraId="6E69B4D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13.361.814.846 </w:t>
            </w:r>
          </w:p>
        </w:tc>
      </w:tr>
      <w:tr w:rsidR="00826439" w:rsidRPr="00826439" w14:paraId="3B2CD86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5CA3A1C"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19</w:t>
            </w:r>
          </w:p>
        </w:tc>
        <w:tc>
          <w:tcPr>
            <w:tcW w:w="1160" w:type="dxa"/>
            <w:tcBorders>
              <w:top w:val="nil"/>
              <w:left w:val="nil"/>
              <w:bottom w:val="single" w:sz="4" w:space="0" w:color="auto"/>
              <w:right w:val="single" w:sz="4" w:space="0" w:color="auto"/>
            </w:tcBorders>
            <w:shd w:val="clear" w:color="auto" w:fill="auto"/>
            <w:noWrap/>
            <w:vAlign w:val="center"/>
            <w:hideMark/>
          </w:tcPr>
          <w:p w14:paraId="4A2430F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69776A0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9.579.314.156 </w:t>
            </w:r>
          </w:p>
        </w:tc>
        <w:tc>
          <w:tcPr>
            <w:tcW w:w="640" w:type="dxa"/>
            <w:tcBorders>
              <w:top w:val="nil"/>
              <w:left w:val="nil"/>
              <w:bottom w:val="single" w:sz="4" w:space="0" w:color="auto"/>
              <w:right w:val="single" w:sz="4" w:space="0" w:color="auto"/>
            </w:tcBorders>
            <w:shd w:val="clear" w:color="auto" w:fill="auto"/>
            <w:noWrap/>
            <w:vAlign w:val="center"/>
            <w:hideMark/>
          </w:tcPr>
          <w:p w14:paraId="252BFA9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96177</w:t>
            </w:r>
          </w:p>
        </w:tc>
        <w:tc>
          <w:tcPr>
            <w:tcW w:w="840" w:type="dxa"/>
            <w:tcBorders>
              <w:top w:val="nil"/>
              <w:left w:val="nil"/>
              <w:bottom w:val="single" w:sz="4" w:space="0" w:color="auto"/>
              <w:right w:val="single" w:sz="4" w:space="0" w:color="auto"/>
            </w:tcBorders>
            <w:shd w:val="clear" w:color="auto" w:fill="auto"/>
            <w:noWrap/>
            <w:vAlign w:val="center"/>
            <w:hideMark/>
          </w:tcPr>
          <w:p w14:paraId="23386CF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46B8DC8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3CF0111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60CD4D9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2019/06/17</w:t>
            </w:r>
          </w:p>
        </w:tc>
        <w:tc>
          <w:tcPr>
            <w:tcW w:w="960" w:type="dxa"/>
            <w:tcBorders>
              <w:top w:val="nil"/>
              <w:left w:val="nil"/>
              <w:bottom w:val="single" w:sz="4" w:space="0" w:color="auto"/>
              <w:right w:val="single" w:sz="4" w:space="0" w:color="auto"/>
            </w:tcBorders>
            <w:shd w:val="clear" w:color="auto" w:fill="auto"/>
            <w:noWrap/>
            <w:vAlign w:val="center"/>
            <w:hideMark/>
          </w:tcPr>
          <w:p w14:paraId="3F27763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2020/02/17</w:t>
            </w:r>
          </w:p>
        </w:tc>
        <w:tc>
          <w:tcPr>
            <w:tcW w:w="1540" w:type="dxa"/>
            <w:tcBorders>
              <w:top w:val="nil"/>
              <w:left w:val="nil"/>
              <w:bottom w:val="single" w:sz="4" w:space="0" w:color="auto"/>
              <w:right w:val="single" w:sz="4" w:space="0" w:color="auto"/>
            </w:tcBorders>
            <w:shd w:val="clear" w:color="auto" w:fill="auto"/>
            <w:noWrap/>
            <w:vAlign w:val="center"/>
            <w:hideMark/>
          </w:tcPr>
          <w:p w14:paraId="67EE472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9.833.146.473 </w:t>
            </w:r>
          </w:p>
        </w:tc>
      </w:tr>
      <w:tr w:rsidR="00826439" w:rsidRPr="00826439" w14:paraId="47F5BB8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277699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20</w:t>
            </w:r>
          </w:p>
        </w:tc>
        <w:tc>
          <w:tcPr>
            <w:tcW w:w="1160" w:type="dxa"/>
            <w:tcBorders>
              <w:top w:val="nil"/>
              <w:left w:val="nil"/>
              <w:bottom w:val="single" w:sz="4" w:space="0" w:color="auto"/>
              <w:right w:val="single" w:sz="4" w:space="0" w:color="auto"/>
            </w:tcBorders>
            <w:shd w:val="clear" w:color="auto" w:fill="auto"/>
            <w:noWrap/>
            <w:vAlign w:val="center"/>
            <w:hideMark/>
          </w:tcPr>
          <w:p w14:paraId="7A1BD00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1809740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1.428.082.726 </w:t>
            </w:r>
          </w:p>
        </w:tc>
        <w:tc>
          <w:tcPr>
            <w:tcW w:w="640" w:type="dxa"/>
            <w:tcBorders>
              <w:top w:val="nil"/>
              <w:left w:val="nil"/>
              <w:bottom w:val="single" w:sz="4" w:space="0" w:color="auto"/>
              <w:right w:val="single" w:sz="4" w:space="0" w:color="auto"/>
            </w:tcBorders>
            <w:shd w:val="clear" w:color="auto" w:fill="auto"/>
            <w:noWrap/>
            <w:vAlign w:val="center"/>
            <w:hideMark/>
          </w:tcPr>
          <w:p w14:paraId="3DB4898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96180</w:t>
            </w:r>
          </w:p>
        </w:tc>
        <w:tc>
          <w:tcPr>
            <w:tcW w:w="840" w:type="dxa"/>
            <w:tcBorders>
              <w:top w:val="nil"/>
              <w:left w:val="nil"/>
              <w:bottom w:val="single" w:sz="4" w:space="0" w:color="auto"/>
              <w:right w:val="single" w:sz="4" w:space="0" w:color="auto"/>
            </w:tcBorders>
            <w:shd w:val="clear" w:color="auto" w:fill="auto"/>
            <w:noWrap/>
            <w:vAlign w:val="center"/>
            <w:hideMark/>
          </w:tcPr>
          <w:p w14:paraId="520C01B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31AA99E1"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78DE22C1"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7CE8340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2019/06/17</w:t>
            </w:r>
          </w:p>
        </w:tc>
        <w:tc>
          <w:tcPr>
            <w:tcW w:w="960" w:type="dxa"/>
            <w:tcBorders>
              <w:top w:val="nil"/>
              <w:left w:val="nil"/>
              <w:bottom w:val="single" w:sz="4" w:space="0" w:color="auto"/>
              <w:right w:val="single" w:sz="4" w:space="0" w:color="auto"/>
            </w:tcBorders>
            <w:shd w:val="clear" w:color="auto" w:fill="auto"/>
            <w:noWrap/>
            <w:vAlign w:val="center"/>
            <w:hideMark/>
          </w:tcPr>
          <w:p w14:paraId="732102B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2020/02/17</w:t>
            </w:r>
          </w:p>
        </w:tc>
        <w:tc>
          <w:tcPr>
            <w:tcW w:w="1540" w:type="dxa"/>
            <w:tcBorders>
              <w:top w:val="nil"/>
              <w:left w:val="nil"/>
              <w:bottom w:val="single" w:sz="4" w:space="0" w:color="auto"/>
              <w:right w:val="single" w:sz="4" w:space="0" w:color="auto"/>
            </w:tcBorders>
            <w:shd w:val="clear" w:color="auto" w:fill="auto"/>
            <w:noWrap/>
            <w:vAlign w:val="center"/>
            <w:hideMark/>
          </w:tcPr>
          <w:p w14:paraId="5472821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1.466.673.977 </w:t>
            </w:r>
          </w:p>
        </w:tc>
      </w:tr>
      <w:tr w:rsidR="00826439" w:rsidRPr="00826439" w14:paraId="4989F87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928A1C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21</w:t>
            </w:r>
          </w:p>
        </w:tc>
        <w:tc>
          <w:tcPr>
            <w:tcW w:w="1160" w:type="dxa"/>
            <w:tcBorders>
              <w:top w:val="nil"/>
              <w:left w:val="nil"/>
              <w:bottom w:val="single" w:sz="4" w:space="0" w:color="auto"/>
              <w:right w:val="single" w:sz="4" w:space="0" w:color="auto"/>
            </w:tcBorders>
            <w:shd w:val="clear" w:color="auto" w:fill="auto"/>
            <w:noWrap/>
            <w:vAlign w:val="center"/>
            <w:hideMark/>
          </w:tcPr>
          <w:p w14:paraId="66D2564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ITAU</w:t>
            </w:r>
          </w:p>
        </w:tc>
        <w:tc>
          <w:tcPr>
            <w:tcW w:w="1480" w:type="dxa"/>
            <w:tcBorders>
              <w:top w:val="nil"/>
              <w:left w:val="nil"/>
              <w:bottom w:val="single" w:sz="4" w:space="0" w:color="auto"/>
              <w:right w:val="single" w:sz="4" w:space="0" w:color="auto"/>
            </w:tcBorders>
            <w:shd w:val="clear" w:color="auto" w:fill="auto"/>
            <w:noWrap/>
            <w:vAlign w:val="center"/>
            <w:hideMark/>
          </w:tcPr>
          <w:p w14:paraId="2E44FAF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3.261.373.925 </w:t>
            </w:r>
          </w:p>
        </w:tc>
        <w:tc>
          <w:tcPr>
            <w:tcW w:w="640" w:type="dxa"/>
            <w:tcBorders>
              <w:top w:val="nil"/>
              <w:left w:val="nil"/>
              <w:bottom w:val="single" w:sz="4" w:space="0" w:color="auto"/>
              <w:right w:val="single" w:sz="4" w:space="0" w:color="auto"/>
            </w:tcBorders>
            <w:shd w:val="clear" w:color="auto" w:fill="auto"/>
            <w:noWrap/>
            <w:vAlign w:val="center"/>
            <w:hideMark/>
          </w:tcPr>
          <w:p w14:paraId="275BFA3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134742</w:t>
            </w:r>
          </w:p>
        </w:tc>
        <w:tc>
          <w:tcPr>
            <w:tcW w:w="840" w:type="dxa"/>
            <w:tcBorders>
              <w:top w:val="nil"/>
              <w:left w:val="nil"/>
              <w:bottom w:val="single" w:sz="4" w:space="0" w:color="auto"/>
              <w:right w:val="single" w:sz="4" w:space="0" w:color="auto"/>
            </w:tcBorders>
            <w:shd w:val="clear" w:color="auto" w:fill="auto"/>
            <w:noWrap/>
            <w:vAlign w:val="center"/>
            <w:hideMark/>
          </w:tcPr>
          <w:p w14:paraId="0E9BFEA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151</w:t>
            </w:r>
          </w:p>
        </w:tc>
        <w:tc>
          <w:tcPr>
            <w:tcW w:w="760" w:type="dxa"/>
            <w:tcBorders>
              <w:top w:val="nil"/>
              <w:left w:val="nil"/>
              <w:bottom w:val="single" w:sz="4" w:space="0" w:color="auto"/>
              <w:right w:val="single" w:sz="4" w:space="0" w:color="auto"/>
            </w:tcBorders>
            <w:shd w:val="clear" w:color="auto" w:fill="auto"/>
            <w:noWrap/>
            <w:vAlign w:val="center"/>
            <w:hideMark/>
          </w:tcPr>
          <w:p w14:paraId="1186311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4,67%</w:t>
            </w:r>
          </w:p>
        </w:tc>
        <w:tc>
          <w:tcPr>
            <w:tcW w:w="820" w:type="dxa"/>
            <w:tcBorders>
              <w:top w:val="nil"/>
              <w:left w:val="nil"/>
              <w:bottom w:val="single" w:sz="4" w:space="0" w:color="auto"/>
              <w:right w:val="single" w:sz="4" w:space="0" w:color="auto"/>
            </w:tcBorders>
            <w:shd w:val="clear" w:color="auto" w:fill="auto"/>
            <w:noWrap/>
            <w:vAlign w:val="center"/>
            <w:hideMark/>
          </w:tcPr>
          <w:p w14:paraId="64168EC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4,61%</w:t>
            </w:r>
          </w:p>
        </w:tc>
        <w:tc>
          <w:tcPr>
            <w:tcW w:w="760" w:type="dxa"/>
            <w:tcBorders>
              <w:top w:val="nil"/>
              <w:left w:val="nil"/>
              <w:bottom w:val="single" w:sz="4" w:space="0" w:color="auto"/>
              <w:right w:val="single" w:sz="4" w:space="0" w:color="auto"/>
            </w:tcBorders>
            <w:shd w:val="clear" w:color="auto" w:fill="auto"/>
            <w:noWrap/>
            <w:vAlign w:val="center"/>
            <w:hideMark/>
          </w:tcPr>
          <w:p w14:paraId="506F79E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2019/09/23</w:t>
            </w:r>
          </w:p>
        </w:tc>
        <w:tc>
          <w:tcPr>
            <w:tcW w:w="960" w:type="dxa"/>
            <w:tcBorders>
              <w:top w:val="nil"/>
              <w:left w:val="nil"/>
              <w:bottom w:val="single" w:sz="4" w:space="0" w:color="auto"/>
              <w:right w:val="single" w:sz="4" w:space="0" w:color="auto"/>
            </w:tcBorders>
            <w:shd w:val="clear" w:color="auto" w:fill="auto"/>
            <w:noWrap/>
            <w:vAlign w:val="center"/>
            <w:hideMark/>
          </w:tcPr>
          <w:p w14:paraId="5FA53D9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2020/02/24</w:t>
            </w:r>
          </w:p>
        </w:tc>
        <w:tc>
          <w:tcPr>
            <w:tcW w:w="1540" w:type="dxa"/>
            <w:tcBorders>
              <w:top w:val="nil"/>
              <w:left w:val="nil"/>
              <w:bottom w:val="single" w:sz="4" w:space="0" w:color="auto"/>
              <w:right w:val="single" w:sz="4" w:space="0" w:color="auto"/>
            </w:tcBorders>
            <w:shd w:val="clear" w:color="auto" w:fill="auto"/>
            <w:noWrap/>
            <w:vAlign w:val="center"/>
            <w:hideMark/>
          </w:tcPr>
          <w:p w14:paraId="613857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3.301.760.058 </w:t>
            </w:r>
          </w:p>
        </w:tc>
      </w:tr>
      <w:tr w:rsidR="00826439" w:rsidRPr="00826439" w14:paraId="2C80C13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0E108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22</w:t>
            </w:r>
          </w:p>
        </w:tc>
        <w:tc>
          <w:tcPr>
            <w:tcW w:w="1160" w:type="dxa"/>
            <w:tcBorders>
              <w:top w:val="nil"/>
              <w:left w:val="nil"/>
              <w:bottom w:val="single" w:sz="4" w:space="0" w:color="auto"/>
              <w:right w:val="single" w:sz="4" w:space="0" w:color="auto"/>
            </w:tcBorders>
            <w:shd w:val="clear" w:color="auto" w:fill="auto"/>
            <w:noWrap/>
            <w:vAlign w:val="center"/>
            <w:hideMark/>
          </w:tcPr>
          <w:p w14:paraId="2F9BD07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079980D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4.389.058.555 </w:t>
            </w:r>
          </w:p>
        </w:tc>
        <w:tc>
          <w:tcPr>
            <w:tcW w:w="640" w:type="dxa"/>
            <w:tcBorders>
              <w:top w:val="nil"/>
              <w:left w:val="nil"/>
              <w:bottom w:val="single" w:sz="4" w:space="0" w:color="auto"/>
              <w:right w:val="single" w:sz="4" w:space="0" w:color="auto"/>
            </w:tcBorders>
            <w:shd w:val="clear" w:color="auto" w:fill="auto"/>
            <w:noWrap/>
            <w:vAlign w:val="center"/>
            <w:hideMark/>
          </w:tcPr>
          <w:p w14:paraId="26F135A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117583</w:t>
            </w:r>
          </w:p>
        </w:tc>
        <w:tc>
          <w:tcPr>
            <w:tcW w:w="840" w:type="dxa"/>
            <w:tcBorders>
              <w:top w:val="nil"/>
              <w:left w:val="nil"/>
              <w:bottom w:val="single" w:sz="4" w:space="0" w:color="auto"/>
              <w:right w:val="single" w:sz="4" w:space="0" w:color="auto"/>
            </w:tcBorders>
            <w:shd w:val="clear" w:color="auto" w:fill="auto"/>
            <w:noWrap/>
            <w:vAlign w:val="center"/>
            <w:hideMark/>
          </w:tcPr>
          <w:p w14:paraId="0EA4880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212</w:t>
            </w:r>
          </w:p>
        </w:tc>
        <w:tc>
          <w:tcPr>
            <w:tcW w:w="760" w:type="dxa"/>
            <w:tcBorders>
              <w:top w:val="nil"/>
              <w:left w:val="nil"/>
              <w:bottom w:val="single" w:sz="4" w:space="0" w:color="auto"/>
              <w:right w:val="single" w:sz="4" w:space="0" w:color="auto"/>
            </w:tcBorders>
            <w:shd w:val="clear" w:color="auto" w:fill="auto"/>
            <w:noWrap/>
            <w:vAlign w:val="center"/>
            <w:hideMark/>
          </w:tcPr>
          <w:p w14:paraId="590298F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53B3B05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2F82088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2019/07/22</w:t>
            </w:r>
          </w:p>
        </w:tc>
        <w:tc>
          <w:tcPr>
            <w:tcW w:w="960" w:type="dxa"/>
            <w:tcBorders>
              <w:top w:val="nil"/>
              <w:left w:val="nil"/>
              <w:bottom w:val="single" w:sz="4" w:space="0" w:color="auto"/>
              <w:right w:val="single" w:sz="4" w:space="0" w:color="auto"/>
            </w:tcBorders>
            <w:shd w:val="clear" w:color="auto" w:fill="auto"/>
            <w:noWrap/>
            <w:vAlign w:val="center"/>
            <w:hideMark/>
          </w:tcPr>
          <w:p w14:paraId="2A8DD89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2020/02/24</w:t>
            </w:r>
          </w:p>
        </w:tc>
        <w:tc>
          <w:tcPr>
            <w:tcW w:w="1540" w:type="dxa"/>
            <w:tcBorders>
              <w:top w:val="nil"/>
              <w:left w:val="nil"/>
              <w:bottom w:val="single" w:sz="4" w:space="0" w:color="auto"/>
              <w:right w:val="single" w:sz="4" w:space="0" w:color="auto"/>
            </w:tcBorders>
            <w:shd w:val="clear" w:color="auto" w:fill="auto"/>
            <w:noWrap/>
            <w:vAlign w:val="center"/>
            <w:hideMark/>
          </w:tcPr>
          <w:p w14:paraId="1EBBFA5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4.482.346.159 </w:t>
            </w:r>
          </w:p>
        </w:tc>
      </w:tr>
      <w:tr w:rsidR="00826439" w:rsidRPr="00826439" w14:paraId="431A29C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28219E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23</w:t>
            </w:r>
          </w:p>
        </w:tc>
        <w:tc>
          <w:tcPr>
            <w:tcW w:w="1160" w:type="dxa"/>
            <w:tcBorders>
              <w:top w:val="nil"/>
              <w:left w:val="nil"/>
              <w:bottom w:val="single" w:sz="4" w:space="0" w:color="auto"/>
              <w:right w:val="single" w:sz="4" w:space="0" w:color="auto"/>
            </w:tcBorders>
            <w:shd w:val="clear" w:color="auto" w:fill="auto"/>
            <w:noWrap/>
            <w:vAlign w:val="center"/>
            <w:hideMark/>
          </w:tcPr>
          <w:p w14:paraId="3427829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6ACA8B8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3.073.895.507 </w:t>
            </w:r>
          </w:p>
        </w:tc>
        <w:tc>
          <w:tcPr>
            <w:tcW w:w="640" w:type="dxa"/>
            <w:tcBorders>
              <w:top w:val="nil"/>
              <w:left w:val="nil"/>
              <w:bottom w:val="single" w:sz="4" w:space="0" w:color="auto"/>
              <w:right w:val="single" w:sz="4" w:space="0" w:color="auto"/>
            </w:tcBorders>
            <w:shd w:val="clear" w:color="auto" w:fill="auto"/>
            <w:noWrap/>
            <w:vAlign w:val="center"/>
            <w:hideMark/>
          </w:tcPr>
          <w:p w14:paraId="77570F8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82903</w:t>
            </w:r>
          </w:p>
        </w:tc>
        <w:tc>
          <w:tcPr>
            <w:tcW w:w="840" w:type="dxa"/>
            <w:tcBorders>
              <w:top w:val="nil"/>
              <w:left w:val="nil"/>
              <w:bottom w:val="single" w:sz="4" w:space="0" w:color="auto"/>
              <w:right w:val="single" w:sz="4" w:space="0" w:color="auto"/>
            </w:tcBorders>
            <w:shd w:val="clear" w:color="auto" w:fill="auto"/>
            <w:noWrap/>
            <w:vAlign w:val="center"/>
            <w:hideMark/>
          </w:tcPr>
          <w:p w14:paraId="61FCBB3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37A7E85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3F89B2B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5,07%</w:t>
            </w:r>
          </w:p>
        </w:tc>
        <w:tc>
          <w:tcPr>
            <w:tcW w:w="760" w:type="dxa"/>
            <w:tcBorders>
              <w:top w:val="nil"/>
              <w:left w:val="nil"/>
              <w:bottom w:val="single" w:sz="4" w:space="0" w:color="auto"/>
              <w:right w:val="single" w:sz="4" w:space="0" w:color="auto"/>
            </w:tcBorders>
            <w:shd w:val="clear" w:color="auto" w:fill="auto"/>
            <w:noWrap/>
            <w:vAlign w:val="center"/>
            <w:hideMark/>
          </w:tcPr>
          <w:p w14:paraId="2098FC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2019/05/23</w:t>
            </w:r>
          </w:p>
        </w:tc>
        <w:tc>
          <w:tcPr>
            <w:tcW w:w="960" w:type="dxa"/>
            <w:tcBorders>
              <w:top w:val="nil"/>
              <w:left w:val="nil"/>
              <w:bottom w:val="single" w:sz="4" w:space="0" w:color="auto"/>
              <w:right w:val="single" w:sz="4" w:space="0" w:color="auto"/>
            </w:tcBorders>
            <w:shd w:val="clear" w:color="auto" w:fill="auto"/>
            <w:noWrap/>
            <w:vAlign w:val="center"/>
            <w:hideMark/>
          </w:tcPr>
          <w:p w14:paraId="2821700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2020/02/24</w:t>
            </w:r>
          </w:p>
        </w:tc>
        <w:tc>
          <w:tcPr>
            <w:tcW w:w="1540" w:type="dxa"/>
            <w:tcBorders>
              <w:top w:val="nil"/>
              <w:left w:val="nil"/>
              <w:bottom w:val="single" w:sz="4" w:space="0" w:color="auto"/>
              <w:right w:val="single" w:sz="4" w:space="0" w:color="auto"/>
            </w:tcBorders>
            <w:shd w:val="clear" w:color="auto" w:fill="auto"/>
            <w:noWrap/>
            <w:vAlign w:val="center"/>
            <w:hideMark/>
          </w:tcPr>
          <w:p w14:paraId="25D3A2D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3.168.315.326 </w:t>
            </w:r>
          </w:p>
        </w:tc>
      </w:tr>
      <w:tr w:rsidR="00826439" w:rsidRPr="00826439" w14:paraId="16E4FE7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DC2A3A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24</w:t>
            </w:r>
          </w:p>
        </w:tc>
        <w:tc>
          <w:tcPr>
            <w:tcW w:w="1160" w:type="dxa"/>
            <w:tcBorders>
              <w:top w:val="nil"/>
              <w:left w:val="nil"/>
              <w:bottom w:val="single" w:sz="4" w:space="0" w:color="auto"/>
              <w:right w:val="single" w:sz="4" w:space="0" w:color="auto"/>
            </w:tcBorders>
            <w:shd w:val="clear" w:color="auto" w:fill="auto"/>
            <w:noWrap/>
            <w:vAlign w:val="center"/>
            <w:hideMark/>
          </w:tcPr>
          <w:p w14:paraId="0F0DBD2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1D1F29F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7.403.697.029 </w:t>
            </w:r>
          </w:p>
        </w:tc>
        <w:tc>
          <w:tcPr>
            <w:tcW w:w="640" w:type="dxa"/>
            <w:tcBorders>
              <w:top w:val="nil"/>
              <w:left w:val="nil"/>
              <w:bottom w:val="single" w:sz="4" w:space="0" w:color="auto"/>
              <w:right w:val="single" w:sz="4" w:space="0" w:color="auto"/>
            </w:tcBorders>
            <w:shd w:val="clear" w:color="auto" w:fill="auto"/>
            <w:noWrap/>
            <w:vAlign w:val="center"/>
            <w:hideMark/>
          </w:tcPr>
          <w:p w14:paraId="4F99883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100661</w:t>
            </w:r>
          </w:p>
        </w:tc>
        <w:tc>
          <w:tcPr>
            <w:tcW w:w="840" w:type="dxa"/>
            <w:tcBorders>
              <w:top w:val="nil"/>
              <w:left w:val="nil"/>
              <w:bottom w:val="single" w:sz="4" w:space="0" w:color="auto"/>
              <w:right w:val="single" w:sz="4" w:space="0" w:color="auto"/>
            </w:tcBorders>
            <w:shd w:val="clear" w:color="auto" w:fill="auto"/>
            <w:noWrap/>
            <w:vAlign w:val="center"/>
            <w:hideMark/>
          </w:tcPr>
          <w:p w14:paraId="500AF17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4EDDE2A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314E0A7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19F5897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2019/06/25</w:t>
            </w:r>
          </w:p>
        </w:tc>
        <w:tc>
          <w:tcPr>
            <w:tcW w:w="960" w:type="dxa"/>
            <w:tcBorders>
              <w:top w:val="nil"/>
              <w:left w:val="nil"/>
              <w:bottom w:val="single" w:sz="4" w:space="0" w:color="auto"/>
              <w:right w:val="single" w:sz="4" w:space="0" w:color="auto"/>
            </w:tcBorders>
            <w:shd w:val="clear" w:color="auto" w:fill="auto"/>
            <w:noWrap/>
            <w:vAlign w:val="center"/>
            <w:hideMark/>
          </w:tcPr>
          <w:p w14:paraId="7BA6B60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2020/02/25</w:t>
            </w:r>
          </w:p>
        </w:tc>
        <w:tc>
          <w:tcPr>
            <w:tcW w:w="1540" w:type="dxa"/>
            <w:tcBorders>
              <w:top w:val="nil"/>
              <w:left w:val="nil"/>
              <w:bottom w:val="single" w:sz="4" w:space="0" w:color="auto"/>
              <w:right w:val="single" w:sz="4" w:space="0" w:color="auto"/>
            </w:tcBorders>
            <w:shd w:val="clear" w:color="auto" w:fill="auto"/>
            <w:noWrap/>
            <w:vAlign w:val="center"/>
            <w:hideMark/>
          </w:tcPr>
          <w:p w14:paraId="45A2F02E" w14:textId="574CE143"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7.591.812.757 </w:t>
            </w:r>
          </w:p>
        </w:tc>
      </w:tr>
      <w:tr w:rsidR="00826439" w:rsidRPr="00826439" w14:paraId="70E34BF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A01CD7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25</w:t>
            </w:r>
          </w:p>
        </w:tc>
        <w:tc>
          <w:tcPr>
            <w:tcW w:w="1160" w:type="dxa"/>
            <w:tcBorders>
              <w:top w:val="nil"/>
              <w:left w:val="nil"/>
              <w:bottom w:val="single" w:sz="4" w:space="0" w:color="auto"/>
              <w:right w:val="single" w:sz="4" w:space="0" w:color="auto"/>
            </w:tcBorders>
            <w:shd w:val="clear" w:color="auto" w:fill="auto"/>
            <w:noWrap/>
            <w:vAlign w:val="center"/>
            <w:hideMark/>
          </w:tcPr>
          <w:p w14:paraId="6234A36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186D775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2.361.116.960 </w:t>
            </w:r>
          </w:p>
        </w:tc>
        <w:tc>
          <w:tcPr>
            <w:tcW w:w="640" w:type="dxa"/>
            <w:tcBorders>
              <w:top w:val="nil"/>
              <w:left w:val="nil"/>
              <w:bottom w:val="single" w:sz="4" w:space="0" w:color="auto"/>
              <w:right w:val="single" w:sz="4" w:space="0" w:color="auto"/>
            </w:tcBorders>
            <w:shd w:val="clear" w:color="auto" w:fill="auto"/>
            <w:noWrap/>
            <w:vAlign w:val="center"/>
            <w:hideMark/>
          </w:tcPr>
          <w:p w14:paraId="3A88250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133784</w:t>
            </w:r>
          </w:p>
        </w:tc>
        <w:tc>
          <w:tcPr>
            <w:tcW w:w="840" w:type="dxa"/>
            <w:tcBorders>
              <w:top w:val="nil"/>
              <w:left w:val="nil"/>
              <w:bottom w:val="single" w:sz="4" w:space="0" w:color="auto"/>
              <w:right w:val="single" w:sz="4" w:space="0" w:color="auto"/>
            </w:tcBorders>
            <w:shd w:val="clear" w:color="auto" w:fill="auto"/>
            <w:noWrap/>
            <w:vAlign w:val="center"/>
            <w:hideMark/>
          </w:tcPr>
          <w:p w14:paraId="1401C1B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227104C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64D075A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4,89%</w:t>
            </w:r>
          </w:p>
        </w:tc>
        <w:tc>
          <w:tcPr>
            <w:tcW w:w="760" w:type="dxa"/>
            <w:tcBorders>
              <w:top w:val="nil"/>
              <w:left w:val="nil"/>
              <w:bottom w:val="single" w:sz="4" w:space="0" w:color="auto"/>
              <w:right w:val="single" w:sz="4" w:space="0" w:color="auto"/>
            </w:tcBorders>
            <w:shd w:val="clear" w:color="auto" w:fill="auto"/>
            <w:noWrap/>
            <w:vAlign w:val="center"/>
            <w:hideMark/>
          </w:tcPr>
          <w:p w14:paraId="2C3F103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2019/08/28</w:t>
            </w:r>
          </w:p>
        </w:tc>
        <w:tc>
          <w:tcPr>
            <w:tcW w:w="960" w:type="dxa"/>
            <w:tcBorders>
              <w:top w:val="nil"/>
              <w:left w:val="nil"/>
              <w:bottom w:val="single" w:sz="4" w:space="0" w:color="auto"/>
              <w:right w:val="single" w:sz="4" w:space="0" w:color="auto"/>
            </w:tcBorders>
            <w:shd w:val="clear" w:color="auto" w:fill="auto"/>
            <w:noWrap/>
            <w:vAlign w:val="center"/>
            <w:hideMark/>
          </w:tcPr>
          <w:p w14:paraId="0A5EDC5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2020/02/28</w:t>
            </w:r>
          </w:p>
        </w:tc>
        <w:tc>
          <w:tcPr>
            <w:tcW w:w="1540" w:type="dxa"/>
            <w:tcBorders>
              <w:top w:val="nil"/>
              <w:left w:val="nil"/>
              <w:bottom w:val="single" w:sz="4" w:space="0" w:color="auto"/>
              <w:right w:val="single" w:sz="4" w:space="0" w:color="auto"/>
            </w:tcBorders>
            <w:shd w:val="clear" w:color="auto" w:fill="auto"/>
            <w:noWrap/>
            <w:vAlign w:val="center"/>
            <w:hideMark/>
          </w:tcPr>
          <w:p w14:paraId="7436AEF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2.400.184.730 </w:t>
            </w:r>
          </w:p>
        </w:tc>
      </w:tr>
      <w:tr w:rsidR="00826439" w:rsidRPr="00826439" w14:paraId="16B924C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AE71854"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26</w:t>
            </w:r>
          </w:p>
        </w:tc>
        <w:tc>
          <w:tcPr>
            <w:tcW w:w="1160" w:type="dxa"/>
            <w:tcBorders>
              <w:top w:val="nil"/>
              <w:left w:val="nil"/>
              <w:bottom w:val="single" w:sz="4" w:space="0" w:color="auto"/>
              <w:right w:val="single" w:sz="4" w:space="0" w:color="auto"/>
            </w:tcBorders>
            <w:shd w:val="clear" w:color="auto" w:fill="auto"/>
            <w:noWrap/>
            <w:vAlign w:val="center"/>
            <w:hideMark/>
          </w:tcPr>
          <w:p w14:paraId="6E9D2C4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ITAU</w:t>
            </w:r>
          </w:p>
        </w:tc>
        <w:tc>
          <w:tcPr>
            <w:tcW w:w="1480" w:type="dxa"/>
            <w:tcBorders>
              <w:top w:val="nil"/>
              <w:left w:val="nil"/>
              <w:bottom w:val="single" w:sz="4" w:space="0" w:color="auto"/>
              <w:right w:val="single" w:sz="4" w:space="0" w:color="auto"/>
            </w:tcBorders>
            <w:shd w:val="clear" w:color="auto" w:fill="auto"/>
            <w:noWrap/>
            <w:vAlign w:val="center"/>
            <w:hideMark/>
          </w:tcPr>
          <w:p w14:paraId="1EB77602" w14:textId="794E7FB1"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1.073.371.815 </w:t>
            </w:r>
          </w:p>
        </w:tc>
        <w:tc>
          <w:tcPr>
            <w:tcW w:w="640" w:type="dxa"/>
            <w:tcBorders>
              <w:top w:val="nil"/>
              <w:left w:val="nil"/>
              <w:bottom w:val="single" w:sz="4" w:space="0" w:color="auto"/>
              <w:right w:val="single" w:sz="4" w:space="0" w:color="auto"/>
            </w:tcBorders>
            <w:shd w:val="clear" w:color="auto" w:fill="auto"/>
            <w:noWrap/>
            <w:vAlign w:val="center"/>
            <w:hideMark/>
          </w:tcPr>
          <w:p w14:paraId="7F36EDC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135030</w:t>
            </w:r>
          </w:p>
        </w:tc>
        <w:tc>
          <w:tcPr>
            <w:tcW w:w="840" w:type="dxa"/>
            <w:tcBorders>
              <w:top w:val="nil"/>
              <w:left w:val="nil"/>
              <w:bottom w:val="single" w:sz="4" w:space="0" w:color="auto"/>
              <w:right w:val="single" w:sz="4" w:space="0" w:color="auto"/>
            </w:tcBorders>
            <w:shd w:val="clear" w:color="auto" w:fill="auto"/>
            <w:noWrap/>
            <w:vAlign w:val="center"/>
            <w:hideMark/>
          </w:tcPr>
          <w:p w14:paraId="794D27A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154</w:t>
            </w:r>
          </w:p>
        </w:tc>
        <w:tc>
          <w:tcPr>
            <w:tcW w:w="760" w:type="dxa"/>
            <w:tcBorders>
              <w:top w:val="nil"/>
              <w:left w:val="nil"/>
              <w:bottom w:val="single" w:sz="4" w:space="0" w:color="auto"/>
              <w:right w:val="single" w:sz="4" w:space="0" w:color="auto"/>
            </w:tcBorders>
            <w:shd w:val="clear" w:color="auto" w:fill="auto"/>
            <w:noWrap/>
            <w:vAlign w:val="center"/>
            <w:hideMark/>
          </w:tcPr>
          <w:p w14:paraId="1FF7711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4,72%</w:t>
            </w:r>
          </w:p>
        </w:tc>
        <w:tc>
          <w:tcPr>
            <w:tcW w:w="820" w:type="dxa"/>
            <w:tcBorders>
              <w:top w:val="nil"/>
              <w:left w:val="nil"/>
              <w:bottom w:val="single" w:sz="4" w:space="0" w:color="auto"/>
              <w:right w:val="single" w:sz="4" w:space="0" w:color="auto"/>
            </w:tcBorders>
            <w:shd w:val="clear" w:color="auto" w:fill="auto"/>
            <w:noWrap/>
            <w:vAlign w:val="center"/>
            <w:hideMark/>
          </w:tcPr>
          <w:p w14:paraId="72BB1C9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4,66%</w:t>
            </w:r>
          </w:p>
        </w:tc>
        <w:tc>
          <w:tcPr>
            <w:tcW w:w="760" w:type="dxa"/>
            <w:tcBorders>
              <w:top w:val="nil"/>
              <w:left w:val="nil"/>
              <w:bottom w:val="single" w:sz="4" w:space="0" w:color="auto"/>
              <w:right w:val="single" w:sz="4" w:space="0" w:color="auto"/>
            </w:tcBorders>
            <w:shd w:val="clear" w:color="auto" w:fill="auto"/>
            <w:noWrap/>
            <w:vAlign w:val="center"/>
            <w:hideMark/>
          </w:tcPr>
          <w:p w14:paraId="0F45538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2019/09/30</w:t>
            </w:r>
          </w:p>
        </w:tc>
        <w:tc>
          <w:tcPr>
            <w:tcW w:w="960" w:type="dxa"/>
            <w:tcBorders>
              <w:top w:val="nil"/>
              <w:left w:val="nil"/>
              <w:bottom w:val="single" w:sz="4" w:space="0" w:color="auto"/>
              <w:right w:val="single" w:sz="4" w:space="0" w:color="auto"/>
            </w:tcBorders>
            <w:shd w:val="clear" w:color="auto" w:fill="auto"/>
            <w:noWrap/>
            <w:vAlign w:val="center"/>
            <w:hideMark/>
          </w:tcPr>
          <w:p w14:paraId="71A3422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2020/03/04</w:t>
            </w:r>
          </w:p>
        </w:tc>
        <w:tc>
          <w:tcPr>
            <w:tcW w:w="1540" w:type="dxa"/>
            <w:tcBorders>
              <w:top w:val="nil"/>
              <w:left w:val="nil"/>
              <w:bottom w:val="single" w:sz="4" w:space="0" w:color="auto"/>
              <w:right w:val="single" w:sz="4" w:space="0" w:color="auto"/>
            </w:tcBorders>
            <w:shd w:val="clear" w:color="auto" w:fill="auto"/>
            <w:noWrap/>
            <w:vAlign w:val="center"/>
            <w:hideMark/>
          </w:tcPr>
          <w:p w14:paraId="1F2CDA2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1.086.015.086 </w:t>
            </w:r>
          </w:p>
        </w:tc>
      </w:tr>
      <w:tr w:rsidR="00826439" w:rsidRPr="00826439" w14:paraId="0AA82C0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7C53C7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27</w:t>
            </w:r>
          </w:p>
        </w:tc>
        <w:tc>
          <w:tcPr>
            <w:tcW w:w="1160" w:type="dxa"/>
            <w:tcBorders>
              <w:top w:val="nil"/>
              <w:left w:val="nil"/>
              <w:bottom w:val="single" w:sz="4" w:space="0" w:color="auto"/>
              <w:right w:val="single" w:sz="4" w:space="0" w:color="auto"/>
            </w:tcBorders>
            <w:shd w:val="clear" w:color="auto" w:fill="auto"/>
            <w:noWrap/>
            <w:vAlign w:val="center"/>
            <w:hideMark/>
          </w:tcPr>
          <w:p w14:paraId="44AC737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26D6BA2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9.000.000.000 </w:t>
            </w:r>
          </w:p>
        </w:tc>
        <w:tc>
          <w:tcPr>
            <w:tcW w:w="640" w:type="dxa"/>
            <w:tcBorders>
              <w:top w:val="nil"/>
              <w:left w:val="nil"/>
              <w:bottom w:val="single" w:sz="4" w:space="0" w:color="auto"/>
              <w:right w:val="single" w:sz="4" w:space="0" w:color="auto"/>
            </w:tcBorders>
            <w:shd w:val="clear" w:color="auto" w:fill="auto"/>
            <w:noWrap/>
            <w:vAlign w:val="center"/>
            <w:hideMark/>
          </w:tcPr>
          <w:p w14:paraId="16B14C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132072</w:t>
            </w:r>
          </w:p>
        </w:tc>
        <w:tc>
          <w:tcPr>
            <w:tcW w:w="840" w:type="dxa"/>
            <w:tcBorders>
              <w:top w:val="nil"/>
              <w:left w:val="nil"/>
              <w:bottom w:val="single" w:sz="4" w:space="0" w:color="auto"/>
              <w:right w:val="single" w:sz="4" w:space="0" w:color="auto"/>
            </w:tcBorders>
            <w:shd w:val="clear" w:color="auto" w:fill="auto"/>
            <w:noWrap/>
            <w:vAlign w:val="center"/>
            <w:hideMark/>
          </w:tcPr>
          <w:p w14:paraId="2AD6899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215</w:t>
            </w:r>
          </w:p>
        </w:tc>
        <w:tc>
          <w:tcPr>
            <w:tcW w:w="760" w:type="dxa"/>
            <w:tcBorders>
              <w:top w:val="nil"/>
              <w:left w:val="nil"/>
              <w:bottom w:val="single" w:sz="4" w:space="0" w:color="auto"/>
              <w:right w:val="single" w:sz="4" w:space="0" w:color="auto"/>
            </w:tcBorders>
            <w:shd w:val="clear" w:color="auto" w:fill="auto"/>
            <w:noWrap/>
            <w:vAlign w:val="center"/>
            <w:hideMark/>
          </w:tcPr>
          <w:p w14:paraId="036A624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2348ABD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35F40DA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2019/07/29</w:t>
            </w:r>
          </w:p>
        </w:tc>
        <w:tc>
          <w:tcPr>
            <w:tcW w:w="960" w:type="dxa"/>
            <w:tcBorders>
              <w:top w:val="nil"/>
              <w:left w:val="nil"/>
              <w:bottom w:val="single" w:sz="4" w:space="0" w:color="auto"/>
              <w:right w:val="single" w:sz="4" w:space="0" w:color="auto"/>
            </w:tcBorders>
            <w:shd w:val="clear" w:color="auto" w:fill="auto"/>
            <w:noWrap/>
            <w:vAlign w:val="center"/>
            <w:hideMark/>
          </w:tcPr>
          <w:p w14:paraId="6EBB7C6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2020/03/04</w:t>
            </w:r>
          </w:p>
        </w:tc>
        <w:tc>
          <w:tcPr>
            <w:tcW w:w="1540" w:type="dxa"/>
            <w:tcBorders>
              <w:top w:val="nil"/>
              <w:left w:val="nil"/>
              <w:bottom w:val="single" w:sz="4" w:space="0" w:color="auto"/>
              <w:right w:val="single" w:sz="4" w:space="0" w:color="auto"/>
            </w:tcBorders>
            <w:shd w:val="clear" w:color="auto" w:fill="auto"/>
            <w:noWrap/>
            <w:vAlign w:val="center"/>
            <w:hideMark/>
          </w:tcPr>
          <w:p w14:paraId="29A06DF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9.182.829.955 </w:t>
            </w:r>
          </w:p>
        </w:tc>
      </w:tr>
      <w:tr w:rsidR="00826439" w:rsidRPr="00826439" w14:paraId="1940159A"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0AE977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28</w:t>
            </w:r>
          </w:p>
        </w:tc>
        <w:tc>
          <w:tcPr>
            <w:tcW w:w="1160" w:type="dxa"/>
            <w:tcBorders>
              <w:top w:val="nil"/>
              <w:left w:val="nil"/>
              <w:bottom w:val="single" w:sz="4" w:space="0" w:color="auto"/>
              <w:right w:val="single" w:sz="4" w:space="0" w:color="auto"/>
            </w:tcBorders>
            <w:shd w:val="clear" w:color="auto" w:fill="auto"/>
            <w:noWrap/>
            <w:vAlign w:val="center"/>
            <w:hideMark/>
          </w:tcPr>
          <w:p w14:paraId="74F642B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266967A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5.393.629.638 </w:t>
            </w:r>
          </w:p>
        </w:tc>
        <w:tc>
          <w:tcPr>
            <w:tcW w:w="640" w:type="dxa"/>
            <w:tcBorders>
              <w:top w:val="nil"/>
              <w:left w:val="nil"/>
              <w:bottom w:val="single" w:sz="4" w:space="0" w:color="auto"/>
              <w:right w:val="single" w:sz="4" w:space="0" w:color="auto"/>
            </w:tcBorders>
            <w:shd w:val="clear" w:color="auto" w:fill="auto"/>
            <w:noWrap/>
            <w:vAlign w:val="center"/>
            <w:hideMark/>
          </w:tcPr>
          <w:p w14:paraId="34B9518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87931</w:t>
            </w:r>
          </w:p>
        </w:tc>
        <w:tc>
          <w:tcPr>
            <w:tcW w:w="840" w:type="dxa"/>
            <w:tcBorders>
              <w:top w:val="nil"/>
              <w:left w:val="nil"/>
              <w:bottom w:val="single" w:sz="4" w:space="0" w:color="auto"/>
              <w:right w:val="single" w:sz="4" w:space="0" w:color="auto"/>
            </w:tcBorders>
            <w:shd w:val="clear" w:color="auto" w:fill="auto"/>
            <w:noWrap/>
            <w:vAlign w:val="center"/>
            <w:hideMark/>
          </w:tcPr>
          <w:p w14:paraId="447A3B5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2042ECB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5,20%</w:t>
            </w:r>
          </w:p>
        </w:tc>
        <w:tc>
          <w:tcPr>
            <w:tcW w:w="820" w:type="dxa"/>
            <w:tcBorders>
              <w:top w:val="nil"/>
              <w:left w:val="nil"/>
              <w:bottom w:val="single" w:sz="4" w:space="0" w:color="auto"/>
              <w:right w:val="single" w:sz="4" w:space="0" w:color="auto"/>
            </w:tcBorders>
            <w:shd w:val="clear" w:color="auto" w:fill="auto"/>
            <w:noWrap/>
            <w:vAlign w:val="center"/>
            <w:hideMark/>
          </w:tcPr>
          <w:p w14:paraId="427F20B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5,17%</w:t>
            </w:r>
          </w:p>
        </w:tc>
        <w:tc>
          <w:tcPr>
            <w:tcW w:w="760" w:type="dxa"/>
            <w:tcBorders>
              <w:top w:val="nil"/>
              <w:left w:val="nil"/>
              <w:bottom w:val="single" w:sz="4" w:space="0" w:color="auto"/>
              <w:right w:val="single" w:sz="4" w:space="0" w:color="auto"/>
            </w:tcBorders>
            <w:shd w:val="clear" w:color="auto" w:fill="auto"/>
            <w:noWrap/>
            <w:vAlign w:val="center"/>
            <w:hideMark/>
          </w:tcPr>
          <w:p w14:paraId="2216BAD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2019/06/04</w:t>
            </w:r>
          </w:p>
        </w:tc>
        <w:tc>
          <w:tcPr>
            <w:tcW w:w="960" w:type="dxa"/>
            <w:tcBorders>
              <w:top w:val="nil"/>
              <w:left w:val="nil"/>
              <w:bottom w:val="single" w:sz="4" w:space="0" w:color="auto"/>
              <w:right w:val="single" w:sz="4" w:space="0" w:color="auto"/>
            </w:tcBorders>
            <w:shd w:val="clear" w:color="auto" w:fill="auto"/>
            <w:noWrap/>
            <w:vAlign w:val="center"/>
            <w:hideMark/>
          </w:tcPr>
          <w:p w14:paraId="5D0B747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2020/03/04</w:t>
            </w:r>
          </w:p>
        </w:tc>
        <w:tc>
          <w:tcPr>
            <w:tcW w:w="1540" w:type="dxa"/>
            <w:tcBorders>
              <w:top w:val="nil"/>
              <w:left w:val="nil"/>
              <w:bottom w:val="single" w:sz="4" w:space="0" w:color="auto"/>
              <w:right w:val="single" w:sz="4" w:space="0" w:color="auto"/>
            </w:tcBorders>
            <w:shd w:val="clear" w:color="auto" w:fill="auto"/>
            <w:noWrap/>
            <w:vAlign w:val="center"/>
            <w:hideMark/>
          </w:tcPr>
          <w:p w14:paraId="1B8004A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5.553.703.924 </w:t>
            </w:r>
          </w:p>
        </w:tc>
      </w:tr>
      <w:tr w:rsidR="00826439" w:rsidRPr="00826439" w14:paraId="136E7D05"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A8963A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29</w:t>
            </w:r>
          </w:p>
        </w:tc>
        <w:tc>
          <w:tcPr>
            <w:tcW w:w="1160" w:type="dxa"/>
            <w:tcBorders>
              <w:top w:val="nil"/>
              <w:left w:val="nil"/>
              <w:bottom w:val="single" w:sz="4" w:space="0" w:color="auto"/>
              <w:right w:val="single" w:sz="4" w:space="0" w:color="auto"/>
            </w:tcBorders>
            <w:shd w:val="clear" w:color="auto" w:fill="auto"/>
            <w:noWrap/>
            <w:vAlign w:val="center"/>
            <w:hideMark/>
          </w:tcPr>
          <w:p w14:paraId="13BFD13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40C8CCA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1.091.998.196 </w:t>
            </w:r>
          </w:p>
        </w:tc>
        <w:tc>
          <w:tcPr>
            <w:tcW w:w="640" w:type="dxa"/>
            <w:tcBorders>
              <w:top w:val="nil"/>
              <w:left w:val="nil"/>
              <w:bottom w:val="single" w:sz="4" w:space="0" w:color="auto"/>
              <w:right w:val="single" w:sz="4" w:space="0" w:color="auto"/>
            </w:tcBorders>
            <w:shd w:val="clear" w:color="auto" w:fill="auto"/>
            <w:noWrap/>
            <w:vAlign w:val="center"/>
            <w:hideMark/>
          </w:tcPr>
          <w:p w14:paraId="726098B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126498</w:t>
            </w:r>
          </w:p>
        </w:tc>
        <w:tc>
          <w:tcPr>
            <w:tcW w:w="840" w:type="dxa"/>
            <w:tcBorders>
              <w:top w:val="nil"/>
              <w:left w:val="nil"/>
              <w:bottom w:val="single" w:sz="4" w:space="0" w:color="auto"/>
              <w:right w:val="single" w:sz="4" w:space="0" w:color="auto"/>
            </w:tcBorders>
            <w:shd w:val="clear" w:color="auto" w:fill="auto"/>
            <w:noWrap/>
            <w:vAlign w:val="center"/>
            <w:hideMark/>
          </w:tcPr>
          <w:p w14:paraId="7ED02B4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1318370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2304D0D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0ACD20F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2019/08/05</w:t>
            </w:r>
          </w:p>
        </w:tc>
        <w:tc>
          <w:tcPr>
            <w:tcW w:w="960" w:type="dxa"/>
            <w:tcBorders>
              <w:top w:val="nil"/>
              <w:left w:val="nil"/>
              <w:bottom w:val="single" w:sz="4" w:space="0" w:color="auto"/>
              <w:right w:val="single" w:sz="4" w:space="0" w:color="auto"/>
            </w:tcBorders>
            <w:shd w:val="clear" w:color="auto" w:fill="auto"/>
            <w:noWrap/>
            <w:vAlign w:val="center"/>
            <w:hideMark/>
          </w:tcPr>
          <w:p w14:paraId="7A75D76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15D47A8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1.113.479.876 </w:t>
            </w:r>
          </w:p>
        </w:tc>
      </w:tr>
      <w:tr w:rsidR="00826439" w:rsidRPr="00826439" w14:paraId="385E71CA"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0BEDDB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30</w:t>
            </w:r>
          </w:p>
        </w:tc>
        <w:tc>
          <w:tcPr>
            <w:tcW w:w="1160" w:type="dxa"/>
            <w:tcBorders>
              <w:top w:val="nil"/>
              <w:left w:val="nil"/>
              <w:bottom w:val="single" w:sz="4" w:space="0" w:color="auto"/>
              <w:right w:val="single" w:sz="4" w:space="0" w:color="auto"/>
            </w:tcBorders>
            <w:shd w:val="clear" w:color="auto" w:fill="auto"/>
            <w:noWrap/>
            <w:vAlign w:val="center"/>
            <w:hideMark/>
          </w:tcPr>
          <w:p w14:paraId="054C987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6681BEA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8.280.857.325 </w:t>
            </w:r>
          </w:p>
        </w:tc>
        <w:tc>
          <w:tcPr>
            <w:tcW w:w="640" w:type="dxa"/>
            <w:tcBorders>
              <w:top w:val="nil"/>
              <w:left w:val="nil"/>
              <w:bottom w:val="single" w:sz="4" w:space="0" w:color="auto"/>
              <w:right w:val="single" w:sz="4" w:space="0" w:color="auto"/>
            </w:tcBorders>
            <w:shd w:val="clear" w:color="auto" w:fill="auto"/>
            <w:noWrap/>
            <w:vAlign w:val="center"/>
            <w:hideMark/>
          </w:tcPr>
          <w:p w14:paraId="1A7D14E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126500</w:t>
            </w:r>
          </w:p>
        </w:tc>
        <w:tc>
          <w:tcPr>
            <w:tcW w:w="840" w:type="dxa"/>
            <w:tcBorders>
              <w:top w:val="nil"/>
              <w:left w:val="nil"/>
              <w:bottom w:val="single" w:sz="4" w:space="0" w:color="auto"/>
              <w:right w:val="single" w:sz="4" w:space="0" w:color="auto"/>
            </w:tcBorders>
            <w:shd w:val="clear" w:color="auto" w:fill="auto"/>
            <w:noWrap/>
            <w:vAlign w:val="center"/>
            <w:hideMark/>
          </w:tcPr>
          <w:p w14:paraId="4B9850F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2D65F1A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3AF4BE8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5A3D3A1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2019/08/05</w:t>
            </w:r>
          </w:p>
        </w:tc>
        <w:tc>
          <w:tcPr>
            <w:tcW w:w="960" w:type="dxa"/>
            <w:tcBorders>
              <w:top w:val="nil"/>
              <w:left w:val="nil"/>
              <w:bottom w:val="single" w:sz="4" w:space="0" w:color="auto"/>
              <w:right w:val="single" w:sz="4" w:space="0" w:color="auto"/>
            </w:tcBorders>
            <w:shd w:val="clear" w:color="auto" w:fill="auto"/>
            <w:noWrap/>
            <w:vAlign w:val="center"/>
            <w:hideMark/>
          </w:tcPr>
          <w:p w14:paraId="79EAA5B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39E59A5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8.443.757.525 </w:t>
            </w:r>
          </w:p>
        </w:tc>
      </w:tr>
      <w:tr w:rsidR="00826439" w:rsidRPr="00826439" w14:paraId="1FD70AD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A40341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31</w:t>
            </w:r>
          </w:p>
        </w:tc>
        <w:tc>
          <w:tcPr>
            <w:tcW w:w="1160" w:type="dxa"/>
            <w:tcBorders>
              <w:top w:val="nil"/>
              <w:left w:val="nil"/>
              <w:bottom w:val="single" w:sz="4" w:space="0" w:color="auto"/>
              <w:right w:val="single" w:sz="4" w:space="0" w:color="auto"/>
            </w:tcBorders>
            <w:shd w:val="clear" w:color="auto" w:fill="auto"/>
            <w:noWrap/>
            <w:vAlign w:val="center"/>
            <w:hideMark/>
          </w:tcPr>
          <w:p w14:paraId="2C1B2AC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2945C92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1.581.407.963 </w:t>
            </w:r>
          </w:p>
        </w:tc>
        <w:tc>
          <w:tcPr>
            <w:tcW w:w="640" w:type="dxa"/>
            <w:tcBorders>
              <w:top w:val="nil"/>
              <w:left w:val="nil"/>
              <w:bottom w:val="single" w:sz="4" w:space="0" w:color="auto"/>
              <w:right w:val="single" w:sz="4" w:space="0" w:color="auto"/>
            </w:tcBorders>
            <w:shd w:val="clear" w:color="auto" w:fill="auto"/>
            <w:noWrap/>
            <w:vAlign w:val="center"/>
            <w:hideMark/>
          </w:tcPr>
          <w:p w14:paraId="7542860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126491</w:t>
            </w:r>
          </w:p>
        </w:tc>
        <w:tc>
          <w:tcPr>
            <w:tcW w:w="840" w:type="dxa"/>
            <w:tcBorders>
              <w:top w:val="nil"/>
              <w:left w:val="nil"/>
              <w:bottom w:val="single" w:sz="4" w:space="0" w:color="auto"/>
              <w:right w:val="single" w:sz="4" w:space="0" w:color="auto"/>
            </w:tcBorders>
            <w:shd w:val="clear" w:color="auto" w:fill="auto"/>
            <w:noWrap/>
            <w:vAlign w:val="center"/>
            <w:hideMark/>
          </w:tcPr>
          <w:p w14:paraId="141BADF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04EE32F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41257A0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55C7520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2019/08/05</w:t>
            </w:r>
          </w:p>
        </w:tc>
        <w:tc>
          <w:tcPr>
            <w:tcW w:w="960" w:type="dxa"/>
            <w:tcBorders>
              <w:top w:val="nil"/>
              <w:left w:val="nil"/>
              <w:bottom w:val="single" w:sz="4" w:space="0" w:color="auto"/>
              <w:right w:val="single" w:sz="4" w:space="0" w:color="auto"/>
            </w:tcBorders>
            <w:shd w:val="clear" w:color="auto" w:fill="auto"/>
            <w:noWrap/>
            <w:vAlign w:val="center"/>
            <w:hideMark/>
          </w:tcPr>
          <w:p w14:paraId="5AA1ED0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110FA26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1.612.516.628 </w:t>
            </w:r>
          </w:p>
        </w:tc>
      </w:tr>
      <w:tr w:rsidR="00826439" w:rsidRPr="00826439" w14:paraId="4904F89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7C87CE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32</w:t>
            </w:r>
          </w:p>
        </w:tc>
        <w:tc>
          <w:tcPr>
            <w:tcW w:w="1160" w:type="dxa"/>
            <w:tcBorders>
              <w:top w:val="nil"/>
              <w:left w:val="nil"/>
              <w:bottom w:val="single" w:sz="4" w:space="0" w:color="auto"/>
              <w:right w:val="single" w:sz="4" w:space="0" w:color="auto"/>
            </w:tcBorders>
            <w:shd w:val="clear" w:color="auto" w:fill="auto"/>
            <w:noWrap/>
            <w:vAlign w:val="center"/>
            <w:hideMark/>
          </w:tcPr>
          <w:p w14:paraId="016C81B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3AB9DEA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4.177.496.985 </w:t>
            </w:r>
          </w:p>
        </w:tc>
        <w:tc>
          <w:tcPr>
            <w:tcW w:w="640" w:type="dxa"/>
            <w:tcBorders>
              <w:top w:val="nil"/>
              <w:left w:val="nil"/>
              <w:bottom w:val="single" w:sz="4" w:space="0" w:color="auto"/>
              <w:right w:val="single" w:sz="4" w:space="0" w:color="auto"/>
            </w:tcBorders>
            <w:shd w:val="clear" w:color="auto" w:fill="auto"/>
            <w:noWrap/>
            <w:vAlign w:val="center"/>
            <w:hideMark/>
          </w:tcPr>
          <w:p w14:paraId="079F0F2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126488</w:t>
            </w:r>
          </w:p>
        </w:tc>
        <w:tc>
          <w:tcPr>
            <w:tcW w:w="840" w:type="dxa"/>
            <w:tcBorders>
              <w:top w:val="nil"/>
              <w:left w:val="nil"/>
              <w:bottom w:val="single" w:sz="4" w:space="0" w:color="auto"/>
              <w:right w:val="single" w:sz="4" w:space="0" w:color="auto"/>
            </w:tcBorders>
            <w:shd w:val="clear" w:color="auto" w:fill="auto"/>
            <w:noWrap/>
            <w:vAlign w:val="center"/>
            <w:hideMark/>
          </w:tcPr>
          <w:p w14:paraId="7C14F46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4AF0035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74BCA27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03B210E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2019/08/05</w:t>
            </w:r>
          </w:p>
        </w:tc>
        <w:tc>
          <w:tcPr>
            <w:tcW w:w="960" w:type="dxa"/>
            <w:tcBorders>
              <w:top w:val="nil"/>
              <w:left w:val="nil"/>
              <w:bottom w:val="single" w:sz="4" w:space="0" w:color="auto"/>
              <w:right w:val="single" w:sz="4" w:space="0" w:color="auto"/>
            </w:tcBorders>
            <w:shd w:val="clear" w:color="auto" w:fill="auto"/>
            <w:noWrap/>
            <w:vAlign w:val="center"/>
            <w:hideMark/>
          </w:tcPr>
          <w:p w14:paraId="613FBEB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658561C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4.259.674.612 </w:t>
            </w:r>
          </w:p>
        </w:tc>
      </w:tr>
      <w:tr w:rsidR="00826439" w:rsidRPr="00826439" w14:paraId="45F6B50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EC0B461"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33</w:t>
            </w:r>
          </w:p>
        </w:tc>
        <w:tc>
          <w:tcPr>
            <w:tcW w:w="1160" w:type="dxa"/>
            <w:tcBorders>
              <w:top w:val="nil"/>
              <w:left w:val="nil"/>
              <w:bottom w:val="single" w:sz="4" w:space="0" w:color="auto"/>
              <w:right w:val="single" w:sz="4" w:space="0" w:color="auto"/>
            </w:tcBorders>
            <w:shd w:val="clear" w:color="auto" w:fill="auto"/>
            <w:noWrap/>
            <w:vAlign w:val="center"/>
            <w:hideMark/>
          </w:tcPr>
          <w:p w14:paraId="21D4E80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7FD6E30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9.230.858.949 </w:t>
            </w:r>
          </w:p>
        </w:tc>
        <w:tc>
          <w:tcPr>
            <w:tcW w:w="640" w:type="dxa"/>
            <w:tcBorders>
              <w:top w:val="nil"/>
              <w:left w:val="nil"/>
              <w:bottom w:val="single" w:sz="4" w:space="0" w:color="auto"/>
              <w:right w:val="single" w:sz="4" w:space="0" w:color="auto"/>
            </w:tcBorders>
            <w:shd w:val="clear" w:color="auto" w:fill="auto"/>
            <w:noWrap/>
            <w:vAlign w:val="center"/>
            <w:hideMark/>
          </w:tcPr>
          <w:p w14:paraId="71D09F7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104651</w:t>
            </w:r>
          </w:p>
        </w:tc>
        <w:tc>
          <w:tcPr>
            <w:tcW w:w="840" w:type="dxa"/>
            <w:tcBorders>
              <w:top w:val="nil"/>
              <w:left w:val="nil"/>
              <w:bottom w:val="single" w:sz="4" w:space="0" w:color="auto"/>
              <w:right w:val="single" w:sz="4" w:space="0" w:color="auto"/>
            </w:tcBorders>
            <w:shd w:val="clear" w:color="auto" w:fill="auto"/>
            <w:noWrap/>
            <w:vAlign w:val="center"/>
            <w:hideMark/>
          </w:tcPr>
          <w:p w14:paraId="6B82984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0C18EC5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332F3B3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4,86%</w:t>
            </w:r>
          </w:p>
        </w:tc>
        <w:tc>
          <w:tcPr>
            <w:tcW w:w="760" w:type="dxa"/>
            <w:tcBorders>
              <w:top w:val="nil"/>
              <w:left w:val="nil"/>
              <w:bottom w:val="single" w:sz="4" w:space="0" w:color="auto"/>
              <w:right w:val="single" w:sz="4" w:space="0" w:color="auto"/>
            </w:tcBorders>
            <w:shd w:val="clear" w:color="auto" w:fill="auto"/>
            <w:noWrap/>
            <w:vAlign w:val="center"/>
            <w:hideMark/>
          </w:tcPr>
          <w:p w14:paraId="35FE972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2019/07/02</w:t>
            </w:r>
          </w:p>
        </w:tc>
        <w:tc>
          <w:tcPr>
            <w:tcW w:w="960" w:type="dxa"/>
            <w:tcBorders>
              <w:top w:val="nil"/>
              <w:left w:val="nil"/>
              <w:bottom w:val="single" w:sz="4" w:space="0" w:color="auto"/>
              <w:right w:val="single" w:sz="4" w:space="0" w:color="auto"/>
            </w:tcBorders>
            <w:shd w:val="clear" w:color="auto" w:fill="auto"/>
            <w:noWrap/>
            <w:vAlign w:val="center"/>
            <w:hideMark/>
          </w:tcPr>
          <w:p w14:paraId="02F875A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10C7398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9.454.034.456 </w:t>
            </w:r>
          </w:p>
        </w:tc>
      </w:tr>
      <w:tr w:rsidR="00826439" w:rsidRPr="00826439" w14:paraId="159F95B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48CAFB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34</w:t>
            </w:r>
          </w:p>
        </w:tc>
        <w:tc>
          <w:tcPr>
            <w:tcW w:w="1160" w:type="dxa"/>
            <w:tcBorders>
              <w:top w:val="nil"/>
              <w:left w:val="nil"/>
              <w:bottom w:val="single" w:sz="4" w:space="0" w:color="auto"/>
              <w:right w:val="single" w:sz="4" w:space="0" w:color="auto"/>
            </w:tcBorders>
            <w:shd w:val="clear" w:color="auto" w:fill="auto"/>
            <w:noWrap/>
            <w:vAlign w:val="center"/>
            <w:hideMark/>
          </w:tcPr>
          <w:p w14:paraId="443E640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288FA11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2.357.569.583 </w:t>
            </w:r>
          </w:p>
        </w:tc>
        <w:tc>
          <w:tcPr>
            <w:tcW w:w="640" w:type="dxa"/>
            <w:tcBorders>
              <w:top w:val="nil"/>
              <w:left w:val="nil"/>
              <w:bottom w:val="single" w:sz="4" w:space="0" w:color="auto"/>
              <w:right w:val="single" w:sz="4" w:space="0" w:color="auto"/>
            </w:tcBorders>
            <w:shd w:val="clear" w:color="auto" w:fill="auto"/>
            <w:noWrap/>
            <w:vAlign w:val="center"/>
            <w:hideMark/>
          </w:tcPr>
          <w:p w14:paraId="29235BE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104649</w:t>
            </w:r>
          </w:p>
        </w:tc>
        <w:tc>
          <w:tcPr>
            <w:tcW w:w="840" w:type="dxa"/>
            <w:tcBorders>
              <w:top w:val="nil"/>
              <w:left w:val="nil"/>
              <w:bottom w:val="single" w:sz="4" w:space="0" w:color="auto"/>
              <w:right w:val="single" w:sz="4" w:space="0" w:color="auto"/>
            </w:tcBorders>
            <w:shd w:val="clear" w:color="auto" w:fill="auto"/>
            <w:noWrap/>
            <w:vAlign w:val="center"/>
            <w:hideMark/>
          </w:tcPr>
          <w:p w14:paraId="4C88718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2977F0A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795821B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4,86%</w:t>
            </w:r>
          </w:p>
        </w:tc>
        <w:tc>
          <w:tcPr>
            <w:tcW w:w="760" w:type="dxa"/>
            <w:tcBorders>
              <w:top w:val="nil"/>
              <w:left w:val="nil"/>
              <w:bottom w:val="single" w:sz="4" w:space="0" w:color="auto"/>
              <w:right w:val="single" w:sz="4" w:space="0" w:color="auto"/>
            </w:tcBorders>
            <w:shd w:val="clear" w:color="auto" w:fill="auto"/>
            <w:noWrap/>
            <w:vAlign w:val="center"/>
            <w:hideMark/>
          </w:tcPr>
          <w:p w14:paraId="45133F2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2019/07/02</w:t>
            </w:r>
          </w:p>
        </w:tc>
        <w:tc>
          <w:tcPr>
            <w:tcW w:w="960" w:type="dxa"/>
            <w:tcBorders>
              <w:top w:val="nil"/>
              <w:left w:val="nil"/>
              <w:bottom w:val="single" w:sz="4" w:space="0" w:color="auto"/>
              <w:right w:val="single" w:sz="4" w:space="0" w:color="auto"/>
            </w:tcBorders>
            <w:shd w:val="clear" w:color="auto" w:fill="auto"/>
            <w:noWrap/>
            <w:vAlign w:val="center"/>
            <w:hideMark/>
          </w:tcPr>
          <w:p w14:paraId="0E6A9FC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2B812CC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2.414.568.806 </w:t>
            </w:r>
          </w:p>
        </w:tc>
      </w:tr>
      <w:tr w:rsidR="00826439" w:rsidRPr="00826439" w14:paraId="7F5CBCC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63ED1D7"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35</w:t>
            </w:r>
          </w:p>
        </w:tc>
        <w:tc>
          <w:tcPr>
            <w:tcW w:w="1160" w:type="dxa"/>
            <w:tcBorders>
              <w:top w:val="nil"/>
              <w:left w:val="nil"/>
              <w:bottom w:val="single" w:sz="4" w:space="0" w:color="auto"/>
              <w:right w:val="single" w:sz="4" w:space="0" w:color="auto"/>
            </w:tcBorders>
            <w:shd w:val="clear" w:color="auto" w:fill="auto"/>
            <w:noWrap/>
            <w:vAlign w:val="center"/>
            <w:hideMark/>
          </w:tcPr>
          <w:p w14:paraId="5304E87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7E57026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5.727.616.443 </w:t>
            </w:r>
          </w:p>
        </w:tc>
        <w:tc>
          <w:tcPr>
            <w:tcW w:w="640" w:type="dxa"/>
            <w:tcBorders>
              <w:top w:val="nil"/>
              <w:left w:val="nil"/>
              <w:bottom w:val="single" w:sz="4" w:space="0" w:color="auto"/>
              <w:right w:val="single" w:sz="4" w:space="0" w:color="auto"/>
            </w:tcBorders>
            <w:shd w:val="clear" w:color="auto" w:fill="auto"/>
            <w:noWrap/>
            <w:vAlign w:val="center"/>
            <w:hideMark/>
          </w:tcPr>
          <w:p w14:paraId="6B034BA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104664</w:t>
            </w:r>
          </w:p>
        </w:tc>
        <w:tc>
          <w:tcPr>
            <w:tcW w:w="840" w:type="dxa"/>
            <w:tcBorders>
              <w:top w:val="nil"/>
              <w:left w:val="nil"/>
              <w:bottom w:val="single" w:sz="4" w:space="0" w:color="auto"/>
              <w:right w:val="single" w:sz="4" w:space="0" w:color="auto"/>
            </w:tcBorders>
            <w:shd w:val="clear" w:color="auto" w:fill="auto"/>
            <w:noWrap/>
            <w:vAlign w:val="center"/>
            <w:hideMark/>
          </w:tcPr>
          <w:p w14:paraId="787B499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2CC24D8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352494F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5772F98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2019/07/02</w:t>
            </w:r>
          </w:p>
        </w:tc>
        <w:tc>
          <w:tcPr>
            <w:tcW w:w="960" w:type="dxa"/>
            <w:tcBorders>
              <w:top w:val="nil"/>
              <w:left w:val="nil"/>
              <w:bottom w:val="single" w:sz="4" w:space="0" w:color="auto"/>
              <w:right w:val="single" w:sz="4" w:space="0" w:color="auto"/>
            </w:tcBorders>
            <w:shd w:val="clear" w:color="auto" w:fill="auto"/>
            <w:noWrap/>
            <w:vAlign w:val="center"/>
            <w:hideMark/>
          </w:tcPr>
          <w:p w14:paraId="70DAB1C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2020/03/05</w:t>
            </w:r>
          </w:p>
        </w:tc>
        <w:tc>
          <w:tcPr>
            <w:tcW w:w="1540" w:type="dxa"/>
            <w:tcBorders>
              <w:top w:val="nil"/>
              <w:left w:val="nil"/>
              <w:bottom w:val="single" w:sz="4" w:space="0" w:color="auto"/>
              <w:right w:val="single" w:sz="4" w:space="0" w:color="auto"/>
            </w:tcBorders>
            <w:shd w:val="clear" w:color="auto" w:fill="auto"/>
            <w:noWrap/>
            <w:vAlign w:val="center"/>
            <w:hideMark/>
          </w:tcPr>
          <w:p w14:paraId="10E369C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5.868.884.437 </w:t>
            </w:r>
          </w:p>
        </w:tc>
      </w:tr>
      <w:tr w:rsidR="00826439" w:rsidRPr="00826439" w14:paraId="5F1A037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3C3B3F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36</w:t>
            </w:r>
          </w:p>
        </w:tc>
        <w:tc>
          <w:tcPr>
            <w:tcW w:w="1160" w:type="dxa"/>
            <w:tcBorders>
              <w:top w:val="nil"/>
              <w:left w:val="nil"/>
              <w:bottom w:val="single" w:sz="4" w:space="0" w:color="auto"/>
              <w:right w:val="single" w:sz="4" w:space="0" w:color="auto"/>
            </w:tcBorders>
            <w:shd w:val="clear" w:color="auto" w:fill="auto"/>
            <w:noWrap/>
            <w:vAlign w:val="center"/>
            <w:hideMark/>
          </w:tcPr>
          <w:p w14:paraId="25DC5DF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120D353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8.008.028.354 </w:t>
            </w:r>
          </w:p>
        </w:tc>
        <w:tc>
          <w:tcPr>
            <w:tcW w:w="640" w:type="dxa"/>
            <w:tcBorders>
              <w:top w:val="nil"/>
              <w:left w:val="nil"/>
              <w:bottom w:val="single" w:sz="4" w:space="0" w:color="auto"/>
              <w:right w:val="single" w:sz="4" w:space="0" w:color="auto"/>
            </w:tcBorders>
            <w:shd w:val="clear" w:color="auto" w:fill="auto"/>
            <w:noWrap/>
            <w:vAlign w:val="center"/>
            <w:hideMark/>
          </w:tcPr>
          <w:p w14:paraId="1FBEE46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145479</w:t>
            </w:r>
          </w:p>
        </w:tc>
        <w:tc>
          <w:tcPr>
            <w:tcW w:w="840" w:type="dxa"/>
            <w:tcBorders>
              <w:top w:val="nil"/>
              <w:left w:val="nil"/>
              <w:bottom w:val="single" w:sz="4" w:space="0" w:color="auto"/>
              <w:right w:val="single" w:sz="4" w:space="0" w:color="auto"/>
            </w:tcBorders>
            <w:shd w:val="clear" w:color="auto" w:fill="auto"/>
            <w:noWrap/>
            <w:vAlign w:val="center"/>
            <w:hideMark/>
          </w:tcPr>
          <w:p w14:paraId="794C4AE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185</w:t>
            </w:r>
          </w:p>
        </w:tc>
        <w:tc>
          <w:tcPr>
            <w:tcW w:w="760" w:type="dxa"/>
            <w:tcBorders>
              <w:top w:val="nil"/>
              <w:left w:val="nil"/>
              <w:bottom w:val="single" w:sz="4" w:space="0" w:color="auto"/>
              <w:right w:val="single" w:sz="4" w:space="0" w:color="auto"/>
            </w:tcBorders>
            <w:shd w:val="clear" w:color="auto" w:fill="auto"/>
            <w:noWrap/>
            <w:vAlign w:val="center"/>
            <w:hideMark/>
          </w:tcPr>
          <w:p w14:paraId="7EE389A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7A252CA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7F2FD4A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2019/09/05</w:t>
            </w:r>
          </w:p>
        </w:tc>
        <w:tc>
          <w:tcPr>
            <w:tcW w:w="960" w:type="dxa"/>
            <w:tcBorders>
              <w:top w:val="nil"/>
              <w:left w:val="nil"/>
              <w:bottom w:val="single" w:sz="4" w:space="0" w:color="auto"/>
              <w:right w:val="single" w:sz="4" w:space="0" w:color="auto"/>
            </w:tcBorders>
            <w:shd w:val="clear" w:color="auto" w:fill="auto"/>
            <w:noWrap/>
            <w:vAlign w:val="center"/>
            <w:hideMark/>
          </w:tcPr>
          <w:p w14:paraId="68FE8CA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2020/03/09</w:t>
            </w:r>
          </w:p>
        </w:tc>
        <w:tc>
          <w:tcPr>
            <w:tcW w:w="1540" w:type="dxa"/>
            <w:tcBorders>
              <w:top w:val="nil"/>
              <w:left w:val="nil"/>
              <w:bottom w:val="single" w:sz="4" w:space="0" w:color="auto"/>
              <w:right w:val="single" w:sz="4" w:space="0" w:color="auto"/>
            </w:tcBorders>
            <w:shd w:val="clear" w:color="auto" w:fill="auto"/>
            <w:noWrap/>
            <w:vAlign w:val="center"/>
            <w:hideMark/>
          </w:tcPr>
          <w:p w14:paraId="08667EC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8.130.529.492 </w:t>
            </w:r>
          </w:p>
        </w:tc>
      </w:tr>
      <w:tr w:rsidR="00826439" w:rsidRPr="00826439" w14:paraId="2119CEF8"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403B30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37</w:t>
            </w:r>
          </w:p>
        </w:tc>
        <w:tc>
          <w:tcPr>
            <w:tcW w:w="1160" w:type="dxa"/>
            <w:tcBorders>
              <w:top w:val="nil"/>
              <w:left w:val="nil"/>
              <w:bottom w:val="single" w:sz="4" w:space="0" w:color="auto"/>
              <w:right w:val="single" w:sz="4" w:space="0" w:color="auto"/>
            </w:tcBorders>
            <w:shd w:val="clear" w:color="auto" w:fill="auto"/>
            <w:noWrap/>
            <w:vAlign w:val="center"/>
            <w:hideMark/>
          </w:tcPr>
          <w:p w14:paraId="1CF8531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7D974AC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1.116.438.431 </w:t>
            </w:r>
          </w:p>
        </w:tc>
        <w:tc>
          <w:tcPr>
            <w:tcW w:w="640" w:type="dxa"/>
            <w:tcBorders>
              <w:top w:val="nil"/>
              <w:left w:val="nil"/>
              <w:bottom w:val="single" w:sz="4" w:space="0" w:color="auto"/>
              <w:right w:val="single" w:sz="4" w:space="0" w:color="auto"/>
            </w:tcBorders>
            <w:shd w:val="clear" w:color="auto" w:fill="auto"/>
            <w:noWrap/>
            <w:vAlign w:val="center"/>
            <w:hideMark/>
          </w:tcPr>
          <w:p w14:paraId="301C967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111122</w:t>
            </w:r>
          </w:p>
        </w:tc>
        <w:tc>
          <w:tcPr>
            <w:tcW w:w="840" w:type="dxa"/>
            <w:tcBorders>
              <w:top w:val="nil"/>
              <w:left w:val="nil"/>
              <w:bottom w:val="single" w:sz="4" w:space="0" w:color="auto"/>
              <w:right w:val="single" w:sz="4" w:space="0" w:color="auto"/>
            </w:tcBorders>
            <w:shd w:val="clear" w:color="auto" w:fill="auto"/>
            <w:noWrap/>
            <w:vAlign w:val="center"/>
            <w:hideMark/>
          </w:tcPr>
          <w:p w14:paraId="53C491D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371AE92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1E702C8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506A08D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2019/07/10</w:t>
            </w:r>
          </w:p>
        </w:tc>
        <w:tc>
          <w:tcPr>
            <w:tcW w:w="960" w:type="dxa"/>
            <w:tcBorders>
              <w:top w:val="nil"/>
              <w:left w:val="nil"/>
              <w:bottom w:val="single" w:sz="4" w:space="0" w:color="auto"/>
              <w:right w:val="single" w:sz="4" w:space="0" w:color="auto"/>
            </w:tcBorders>
            <w:shd w:val="clear" w:color="auto" w:fill="auto"/>
            <w:noWrap/>
            <w:vAlign w:val="center"/>
            <w:hideMark/>
          </w:tcPr>
          <w:p w14:paraId="0EE133D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2020/03/09</w:t>
            </w:r>
          </w:p>
        </w:tc>
        <w:tc>
          <w:tcPr>
            <w:tcW w:w="1540" w:type="dxa"/>
            <w:tcBorders>
              <w:top w:val="nil"/>
              <w:left w:val="nil"/>
              <w:bottom w:val="single" w:sz="4" w:space="0" w:color="auto"/>
              <w:right w:val="single" w:sz="4" w:space="0" w:color="auto"/>
            </w:tcBorders>
            <w:shd w:val="clear" w:color="auto" w:fill="auto"/>
            <w:noWrap/>
            <w:vAlign w:val="center"/>
            <w:hideMark/>
          </w:tcPr>
          <w:p w14:paraId="708E608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1.142.709.924 </w:t>
            </w:r>
          </w:p>
        </w:tc>
      </w:tr>
      <w:tr w:rsidR="00826439" w:rsidRPr="00826439" w14:paraId="007FFC7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625D54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38</w:t>
            </w:r>
          </w:p>
        </w:tc>
        <w:tc>
          <w:tcPr>
            <w:tcW w:w="1160" w:type="dxa"/>
            <w:tcBorders>
              <w:top w:val="nil"/>
              <w:left w:val="nil"/>
              <w:bottom w:val="single" w:sz="4" w:space="0" w:color="auto"/>
              <w:right w:val="single" w:sz="4" w:space="0" w:color="auto"/>
            </w:tcBorders>
            <w:shd w:val="clear" w:color="auto" w:fill="auto"/>
            <w:noWrap/>
            <w:vAlign w:val="center"/>
            <w:hideMark/>
          </w:tcPr>
          <w:p w14:paraId="24743F8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1AB5774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19.594.460.999 </w:t>
            </w:r>
          </w:p>
        </w:tc>
        <w:tc>
          <w:tcPr>
            <w:tcW w:w="640" w:type="dxa"/>
            <w:tcBorders>
              <w:top w:val="nil"/>
              <w:left w:val="nil"/>
              <w:bottom w:val="single" w:sz="4" w:space="0" w:color="auto"/>
              <w:right w:val="single" w:sz="4" w:space="0" w:color="auto"/>
            </w:tcBorders>
            <w:shd w:val="clear" w:color="auto" w:fill="auto"/>
            <w:noWrap/>
            <w:vAlign w:val="center"/>
            <w:hideMark/>
          </w:tcPr>
          <w:p w14:paraId="3EAEC8B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108794</w:t>
            </w:r>
          </w:p>
        </w:tc>
        <w:tc>
          <w:tcPr>
            <w:tcW w:w="840" w:type="dxa"/>
            <w:tcBorders>
              <w:top w:val="nil"/>
              <w:left w:val="nil"/>
              <w:bottom w:val="single" w:sz="4" w:space="0" w:color="auto"/>
              <w:right w:val="single" w:sz="4" w:space="0" w:color="auto"/>
            </w:tcBorders>
            <w:shd w:val="clear" w:color="auto" w:fill="auto"/>
            <w:noWrap/>
            <w:vAlign w:val="center"/>
            <w:hideMark/>
          </w:tcPr>
          <w:p w14:paraId="52563AF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241</w:t>
            </w:r>
          </w:p>
        </w:tc>
        <w:tc>
          <w:tcPr>
            <w:tcW w:w="760" w:type="dxa"/>
            <w:tcBorders>
              <w:top w:val="nil"/>
              <w:left w:val="nil"/>
              <w:bottom w:val="single" w:sz="4" w:space="0" w:color="auto"/>
              <w:right w:val="single" w:sz="4" w:space="0" w:color="auto"/>
            </w:tcBorders>
            <w:shd w:val="clear" w:color="auto" w:fill="auto"/>
            <w:noWrap/>
            <w:vAlign w:val="center"/>
            <w:hideMark/>
          </w:tcPr>
          <w:p w14:paraId="5120071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54BBF70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49FFEDC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2019/07/08</w:t>
            </w:r>
          </w:p>
        </w:tc>
        <w:tc>
          <w:tcPr>
            <w:tcW w:w="960" w:type="dxa"/>
            <w:tcBorders>
              <w:top w:val="nil"/>
              <w:left w:val="nil"/>
              <w:bottom w:val="single" w:sz="4" w:space="0" w:color="auto"/>
              <w:right w:val="single" w:sz="4" w:space="0" w:color="auto"/>
            </w:tcBorders>
            <w:shd w:val="clear" w:color="auto" w:fill="auto"/>
            <w:noWrap/>
            <w:vAlign w:val="center"/>
            <w:hideMark/>
          </w:tcPr>
          <w:p w14:paraId="7A51D44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2020/03/09</w:t>
            </w:r>
          </w:p>
        </w:tc>
        <w:tc>
          <w:tcPr>
            <w:tcW w:w="1540" w:type="dxa"/>
            <w:tcBorders>
              <w:top w:val="nil"/>
              <w:left w:val="nil"/>
              <w:bottom w:val="single" w:sz="4" w:space="0" w:color="auto"/>
              <w:right w:val="single" w:sz="4" w:space="0" w:color="auto"/>
            </w:tcBorders>
            <w:shd w:val="clear" w:color="auto" w:fill="auto"/>
            <w:noWrap/>
            <w:vAlign w:val="center"/>
            <w:hideMark/>
          </w:tcPr>
          <w:p w14:paraId="304920E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20.068.841.777 </w:t>
            </w:r>
          </w:p>
        </w:tc>
      </w:tr>
      <w:tr w:rsidR="00826439" w:rsidRPr="00826439" w14:paraId="67A43FF8"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905EE3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39</w:t>
            </w:r>
          </w:p>
        </w:tc>
        <w:tc>
          <w:tcPr>
            <w:tcW w:w="1160" w:type="dxa"/>
            <w:tcBorders>
              <w:top w:val="nil"/>
              <w:left w:val="nil"/>
              <w:bottom w:val="single" w:sz="4" w:space="0" w:color="auto"/>
              <w:right w:val="single" w:sz="4" w:space="0" w:color="auto"/>
            </w:tcBorders>
            <w:shd w:val="clear" w:color="auto" w:fill="auto"/>
            <w:noWrap/>
            <w:vAlign w:val="center"/>
            <w:hideMark/>
          </w:tcPr>
          <w:p w14:paraId="0390DDF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7A1440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10.000.000.000 </w:t>
            </w:r>
          </w:p>
        </w:tc>
        <w:tc>
          <w:tcPr>
            <w:tcW w:w="640" w:type="dxa"/>
            <w:tcBorders>
              <w:top w:val="nil"/>
              <w:left w:val="nil"/>
              <w:bottom w:val="single" w:sz="4" w:space="0" w:color="auto"/>
              <w:right w:val="single" w:sz="4" w:space="0" w:color="auto"/>
            </w:tcBorders>
            <w:shd w:val="clear" w:color="auto" w:fill="auto"/>
            <w:noWrap/>
            <w:vAlign w:val="center"/>
            <w:hideMark/>
          </w:tcPr>
          <w:p w14:paraId="30BC53F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129892</w:t>
            </w:r>
          </w:p>
        </w:tc>
        <w:tc>
          <w:tcPr>
            <w:tcW w:w="840" w:type="dxa"/>
            <w:tcBorders>
              <w:top w:val="nil"/>
              <w:left w:val="nil"/>
              <w:bottom w:val="single" w:sz="4" w:space="0" w:color="auto"/>
              <w:right w:val="single" w:sz="4" w:space="0" w:color="auto"/>
            </w:tcBorders>
            <w:shd w:val="clear" w:color="auto" w:fill="auto"/>
            <w:noWrap/>
            <w:vAlign w:val="center"/>
            <w:hideMark/>
          </w:tcPr>
          <w:p w14:paraId="43EE92E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272</w:t>
            </w:r>
          </w:p>
        </w:tc>
        <w:tc>
          <w:tcPr>
            <w:tcW w:w="760" w:type="dxa"/>
            <w:tcBorders>
              <w:top w:val="nil"/>
              <w:left w:val="nil"/>
              <w:bottom w:val="single" w:sz="4" w:space="0" w:color="auto"/>
              <w:right w:val="single" w:sz="4" w:space="0" w:color="auto"/>
            </w:tcBorders>
            <w:shd w:val="clear" w:color="auto" w:fill="auto"/>
            <w:noWrap/>
            <w:vAlign w:val="center"/>
            <w:hideMark/>
          </w:tcPr>
          <w:p w14:paraId="3287B0F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1A9DD5C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5,07%</w:t>
            </w:r>
          </w:p>
        </w:tc>
        <w:tc>
          <w:tcPr>
            <w:tcW w:w="760" w:type="dxa"/>
            <w:tcBorders>
              <w:top w:val="nil"/>
              <w:left w:val="nil"/>
              <w:bottom w:val="single" w:sz="4" w:space="0" w:color="auto"/>
              <w:right w:val="single" w:sz="4" w:space="0" w:color="auto"/>
            </w:tcBorders>
            <w:shd w:val="clear" w:color="auto" w:fill="auto"/>
            <w:noWrap/>
            <w:vAlign w:val="center"/>
            <w:hideMark/>
          </w:tcPr>
          <w:p w14:paraId="341EA3B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2019/06/07</w:t>
            </w:r>
          </w:p>
        </w:tc>
        <w:tc>
          <w:tcPr>
            <w:tcW w:w="960" w:type="dxa"/>
            <w:tcBorders>
              <w:top w:val="nil"/>
              <w:left w:val="nil"/>
              <w:bottom w:val="single" w:sz="4" w:space="0" w:color="auto"/>
              <w:right w:val="single" w:sz="4" w:space="0" w:color="auto"/>
            </w:tcBorders>
            <w:shd w:val="clear" w:color="auto" w:fill="auto"/>
            <w:noWrap/>
            <w:vAlign w:val="center"/>
            <w:hideMark/>
          </w:tcPr>
          <w:p w14:paraId="167B38F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2020/03/09</w:t>
            </w:r>
          </w:p>
        </w:tc>
        <w:tc>
          <w:tcPr>
            <w:tcW w:w="1540" w:type="dxa"/>
            <w:tcBorders>
              <w:top w:val="nil"/>
              <w:left w:val="nil"/>
              <w:bottom w:val="single" w:sz="4" w:space="0" w:color="auto"/>
              <w:right w:val="single" w:sz="4" w:space="0" w:color="auto"/>
            </w:tcBorders>
            <w:shd w:val="clear" w:color="auto" w:fill="auto"/>
            <w:noWrap/>
            <w:vAlign w:val="center"/>
            <w:hideMark/>
          </w:tcPr>
          <w:p w14:paraId="1045FA6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10.286.938.443 </w:t>
            </w:r>
          </w:p>
        </w:tc>
      </w:tr>
      <w:tr w:rsidR="00826439" w:rsidRPr="00826439" w14:paraId="64E1BFB5"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337054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40</w:t>
            </w:r>
          </w:p>
        </w:tc>
        <w:tc>
          <w:tcPr>
            <w:tcW w:w="1160" w:type="dxa"/>
            <w:tcBorders>
              <w:top w:val="nil"/>
              <w:left w:val="nil"/>
              <w:bottom w:val="single" w:sz="4" w:space="0" w:color="auto"/>
              <w:right w:val="single" w:sz="4" w:space="0" w:color="auto"/>
            </w:tcBorders>
            <w:shd w:val="clear" w:color="auto" w:fill="auto"/>
            <w:noWrap/>
            <w:vAlign w:val="center"/>
            <w:hideMark/>
          </w:tcPr>
          <w:p w14:paraId="10D25C1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7124D73E" w14:textId="538599FE"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2.155.110.539 </w:t>
            </w:r>
          </w:p>
        </w:tc>
        <w:tc>
          <w:tcPr>
            <w:tcW w:w="640" w:type="dxa"/>
            <w:tcBorders>
              <w:top w:val="nil"/>
              <w:left w:val="nil"/>
              <w:bottom w:val="single" w:sz="4" w:space="0" w:color="auto"/>
              <w:right w:val="single" w:sz="4" w:space="0" w:color="auto"/>
            </w:tcBorders>
            <w:shd w:val="clear" w:color="auto" w:fill="auto"/>
            <w:noWrap/>
            <w:vAlign w:val="center"/>
            <w:hideMark/>
          </w:tcPr>
          <w:p w14:paraId="2D62586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134063</w:t>
            </w:r>
          </w:p>
        </w:tc>
        <w:tc>
          <w:tcPr>
            <w:tcW w:w="840" w:type="dxa"/>
            <w:tcBorders>
              <w:top w:val="nil"/>
              <w:left w:val="nil"/>
              <w:bottom w:val="single" w:sz="4" w:space="0" w:color="auto"/>
              <w:right w:val="single" w:sz="4" w:space="0" w:color="auto"/>
            </w:tcBorders>
            <w:shd w:val="clear" w:color="auto" w:fill="auto"/>
            <w:noWrap/>
            <w:vAlign w:val="center"/>
            <w:hideMark/>
          </w:tcPr>
          <w:p w14:paraId="30E5B95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183</w:t>
            </w:r>
          </w:p>
        </w:tc>
        <w:tc>
          <w:tcPr>
            <w:tcW w:w="760" w:type="dxa"/>
            <w:tcBorders>
              <w:top w:val="nil"/>
              <w:left w:val="nil"/>
              <w:bottom w:val="single" w:sz="4" w:space="0" w:color="auto"/>
              <w:right w:val="single" w:sz="4" w:space="0" w:color="auto"/>
            </w:tcBorders>
            <w:shd w:val="clear" w:color="auto" w:fill="auto"/>
            <w:noWrap/>
            <w:vAlign w:val="center"/>
            <w:hideMark/>
          </w:tcPr>
          <w:p w14:paraId="7803FD3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4C172E0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304DC22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2019/09/09</w:t>
            </w:r>
          </w:p>
        </w:tc>
        <w:tc>
          <w:tcPr>
            <w:tcW w:w="960" w:type="dxa"/>
            <w:tcBorders>
              <w:top w:val="nil"/>
              <w:left w:val="nil"/>
              <w:bottom w:val="single" w:sz="4" w:space="0" w:color="auto"/>
              <w:right w:val="single" w:sz="4" w:space="0" w:color="auto"/>
            </w:tcBorders>
            <w:shd w:val="clear" w:color="auto" w:fill="auto"/>
            <w:noWrap/>
            <w:vAlign w:val="center"/>
            <w:hideMark/>
          </w:tcPr>
          <w:p w14:paraId="321DEC1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2020/03/12</w:t>
            </w:r>
          </w:p>
        </w:tc>
        <w:tc>
          <w:tcPr>
            <w:tcW w:w="1540" w:type="dxa"/>
            <w:tcBorders>
              <w:top w:val="nil"/>
              <w:left w:val="nil"/>
              <w:bottom w:val="single" w:sz="4" w:space="0" w:color="auto"/>
              <w:right w:val="single" w:sz="4" w:space="0" w:color="auto"/>
            </w:tcBorders>
            <w:shd w:val="clear" w:color="auto" w:fill="auto"/>
            <w:noWrap/>
            <w:vAlign w:val="center"/>
            <w:hideMark/>
          </w:tcPr>
          <w:p w14:paraId="40F728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2.187.035.946 </w:t>
            </w:r>
          </w:p>
        </w:tc>
      </w:tr>
      <w:tr w:rsidR="00826439" w:rsidRPr="00826439" w14:paraId="495DB843"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3846AA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lastRenderedPageBreak/>
              <w:t>41</w:t>
            </w:r>
          </w:p>
        </w:tc>
        <w:tc>
          <w:tcPr>
            <w:tcW w:w="1160" w:type="dxa"/>
            <w:tcBorders>
              <w:top w:val="nil"/>
              <w:left w:val="nil"/>
              <w:bottom w:val="single" w:sz="4" w:space="0" w:color="auto"/>
              <w:right w:val="single" w:sz="4" w:space="0" w:color="auto"/>
            </w:tcBorders>
            <w:shd w:val="clear" w:color="auto" w:fill="auto"/>
            <w:noWrap/>
            <w:vAlign w:val="center"/>
            <w:hideMark/>
          </w:tcPr>
          <w:p w14:paraId="49FD6C9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1A3B3BA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2.106.793.731 </w:t>
            </w:r>
          </w:p>
        </w:tc>
        <w:tc>
          <w:tcPr>
            <w:tcW w:w="640" w:type="dxa"/>
            <w:tcBorders>
              <w:top w:val="nil"/>
              <w:left w:val="nil"/>
              <w:bottom w:val="single" w:sz="4" w:space="0" w:color="auto"/>
              <w:right w:val="single" w:sz="4" w:space="0" w:color="auto"/>
            </w:tcBorders>
            <w:shd w:val="clear" w:color="auto" w:fill="auto"/>
            <w:noWrap/>
            <w:vAlign w:val="center"/>
            <w:hideMark/>
          </w:tcPr>
          <w:p w14:paraId="6D6CB0B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130449</w:t>
            </w:r>
          </w:p>
        </w:tc>
        <w:tc>
          <w:tcPr>
            <w:tcW w:w="840" w:type="dxa"/>
            <w:tcBorders>
              <w:top w:val="nil"/>
              <w:left w:val="nil"/>
              <w:bottom w:val="single" w:sz="4" w:space="0" w:color="auto"/>
              <w:right w:val="single" w:sz="4" w:space="0" w:color="auto"/>
            </w:tcBorders>
            <w:shd w:val="clear" w:color="auto" w:fill="auto"/>
            <w:noWrap/>
            <w:vAlign w:val="center"/>
            <w:hideMark/>
          </w:tcPr>
          <w:p w14:paraId="7DC3382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454E703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6D33901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6E2AF52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2019/08/12</w:t>
            </w:r>
          </w:p>
        </w:tc>
        <w:tc>
          <w:tcPr>
            <w:tcW w:w="960" w:type="dxa"/>
            <w:tcBorders>
              <w:top w:val="nil"/>
              <w:left w:val="nil"/>
              <w:bottom w:val="single" w:sz="4" w:space="0" w:color="auto"/>
              <w:right w:val="single" w:sz="4" w:space="0" w:color="auto"/>
            </w:tcBorders>
            <w:shd w:val="clear" w:color="auto" w:fill="auto"/>
            <w:noWrap/>
            <w:vAlign w:val="center"/>
            <w:hideMark/>
          </w:tcPr>
          <w:p w14:paraId="010CBC4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2020/03/12</w:t>
            </w:r>
          </w:p>
        </w:tc>
        <w:tc>
          <w:tcPr>
            <w:tcW w:w="1540" w:type="dxa"/>
            <w:tcBorders>
              <w:top w:val="nil"/>
              <w:left w:val="nil"/>
              <w:bottom w:val="single" w:sz="4" w:space="0" w:color="auto"/>
              <w:right w:val="single" w:sz="4" w:space="0" w:color="auto"/>
            </w:tcBorders>
            <w:shd w:val="clear" w:color="auto" w:fill="auto"/>
            <w:noWrap/>
            <w:vAlign w:val="center"/>
            <w:hideMark/>
          </w:tcPr>
          <w:p w14:paraId="609EDB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2.146.656.684 </w:t>
            </w:r>
          </w:p>
        </w:tc>
      </w:tr>
      <w:tr w:rsidR="00826439" w:rsidRPr="00826439" w14:paraId="30C4D83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B72CDC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42</w:t>
            </w:r>
          </w:p>
        </w:tc>
        <w:tc>
          <w:tcPr>
            <w:tcW w:w="1160" w:type="dxa"/>
            <w:tcBorders>
              <w:top w:val="nil"/>
              <w:left w:val="nil"/>
              <w:bottom w:val="single" w:sz="4" w:space="0" w:color="auto"/>
              <w:right w:val="single" w:sz="4" w:space="0" w:color="auto"/>
            </w:tcBorders>
            <w:shd w:val="clear" w:color="auto" w:fill="auto"/>
            <w:noWrap/>
            <w:vAlign w:val="center"/>
            <w:hideMark/>
          </w:tcPr>
          <w:p w14:paraId="6E4D83F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2ECD774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2.487.473.452 </w:t>
            </w:r>
          </w:p>
        </w:tc>
        <w:tc>
          <w:tcPr>
            <w:tcW w:w="640" w:type="dxa"/>
            <w:tcBorders>
              <w:top w:val="nil"/>
              <w:left w:val="nil"/>
              <w:bottom w:val="single" w:sz="4" w:space="0" w:color="auto"/>
              <w:right w:val="single" w:sz="4" w:space="0" w:color="auto"/>
            </w:tcBorders>
            <w:shd w:val="clear" w:color="auto" w:fill="auto"/>
            <w:noWrap/>
            <w:vAlign w:val="center"/>
            <w:hideMark/>
          </w:tcPr>
          <w:p w14:paraId="1B66782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133240</w:t>
            </w:r>
          </w:p>
        </w:tc>
        <w:tc>
          <w:tcPr>
            <w:tcW w:w="840" w:type="dxa"/>
            <w:tcBorders>
              <w:top w:val="nil"/>
              <w:left w:val="nil"/>
              <w:bottom w:val="single" w:sz="4" w:space="0" w:color="auto"/>
              <w:right w:val="single" w:sz="4" w:space="0" w:color="auto"/>
            </w:tcBorders>
            <w:shd w:val="clear" w:color="auto" w:fill="auto"/>
            <w:noWrap/>
            <w:vAlign w:val="center"/>
            <w:hideMark/>
          </w:tcPr>
          <w:p w14:paraId="451C25F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63E95E9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0ADF2D0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2ECF8C1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2019/08/20</w:t>
            </w:r>
          </w:p>
        </w:tc>
        <w:tc>
          <w:tcPr>
            <w:tcW w:w="960" w:type="dxa"/>
            <w:tcBorders>
              <w:top w:val="nil"/>
              <w:left w:val="nil"/>
              <w:bottom w:val="single" w:sz="4" w:space="0" w:color="auto"/>
              <w:right w:val="single" w:sz="4" w:space="0" w:color="auto"/>
            </w:tcBorders>
            <w:shd w:val="clear" w:color="auto" w:fill="auto"/>
            <w:noWrap/>
            <w:vAlign w:val="center"/>
            <w:hideMark/>
          </w:tcPr>
          <w:p w14:paraId="6B3EDFD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2020/03/20</w:t>
            </w:r>
          </w:p>
        </w:tc>
        <w:tc>
          <w:tcPr>
            <w:tcW w:w="1540" w:type="dxa"/>
            <w:tcBorders>
              <w:top w:val="nil"/>
              <w:left w:val="nil"/>
              <w:bottom w:val="single" w:sz="4" w:space="0" w:color="auto"/>
              <w:right w:val="single" w:sz="4" w:space="0" w:color="auto"/>
            </w:tcBorders>
            <w:shd w:val="clear" w:color="auto" w:fill="auto"/>
            <w:noWrap/>
            <w:vAlign w:val="center"/>
            <w:hideMark/>
          </w:tcPr>
          <w:p w14:paraId="661E3AD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2.531.635.069 </w:t>
            </w:r>
          </w:p>
        </w:tc>
      </w:tr>
      <w:tr w:rsidR="00826439" w:rsidRPr="00826439" w14:paraId="6489309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AA7D56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43</w:t>
            </w:r>
          </w:p>
        </w:tc>
        <w:tc>
          <w:tcPr>
            <w:tcW w:w="1160" w:type="dxa"/>
            <w:tcBorders>
              <w:top w:val="nil"/>
              <w:left w:val="nil"/>
              <w:bottom w:val="single" w:sz="4" w:space="0" w:color="auto"/>
              <w:right w:val="single" w:sz="4" w:space="0" w:color="auto"/>
            </w:tcBorders>
            <w:shd w:val="clear" w:color="auto" w:fill="auto"/>
            <w:noWrap/>
            <w:vAlign w:val="center"/>
            <w:hideMark/>
          </w:tcPr>
          <w:p w14:paraId="63B3A4D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7DC6C72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3.863.380.990 </w:t>
            </w:r>
          </w:p>
        </w:tc>
        <w:tc>
          <w:tcPr>
            <w:tcW w:w="640" w:type="dxa"/>
            <w:tcBorders>
              <w:top w:val="nil"/>
              <w:left w:val="nil"/>
              <w:bottom w:val="single" w:sz="4" w:space="0" w:color="auto"/>
              <w:right w:val="single" w:sz="4" w:space="0" w:color="auto"/>
            </w:tcBorders>
            <w:shd w:val="clear" w:color="auto" w:fill="auto"/>
            <w:noWrap/>
            <w:vAlign w:val="center"/>
            <w:hideMark/>
          </w:tcPr>
          <w:p w14:paraId="4DD4271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155586</w:t>
            </w:r>
          </w:p>
        </w:tc>
        <w:tc>
          <w:tcPr>
            <w:tcW w:w="840" w:type="dxa"/>
            <w:tcBorders>
              <w:top w:val="nil"/>
              <w:left w:val="nil"/>
              <w:bottom w:val="single" w:sz="4" w:space="0" w:color="auto"/>
              <w:right w:val="single" w:sz="4" w:space="0" w:color="auto"/>
            </w:tcBorders>
            <w:shd w:val="clear" w:color="auto" w:fill="auto"/>
            <w:noWrap/>
            <w:vAlign w:val="center"/>
            <w:hideMark/>
          </w:tcPr>
          <w:p w14:paraId="5EEBC50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183</w:t>
            </w:r>
          </w:p>
        </w:tc>
        <w:tc>
          <w:tcPr>
            <w:tcW w:w="760" w:type="dxa"/>
            <w:tcBorders>
              <w:top w:val="nil"/>
              <w:left w:val="nil"/>
              <w:bottom w:val="single" w:sz="4" w:space="0" w:color="auto"/>
              <w:right w:val="single" w:sz="4" w:space="0" w:color="auto"/>
            </w:tcBorders>
            <w:shd w:val="clear" w:color="auto" w:fill="auto"/>
            <w:noWrap/>
            <w:vAlign w:val="center"/>
            <w:hideMark/>
          </w:tcPr>
          <w:p w14:paraId="15F1FE6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7FB86D2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613F9D6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2019/09/23</w:t>
            </w:r>
          </w:p>
        </w:tc>
        <w:tc>
          <w:tcPr>
            <w:tcW w:w="960" w:type="dxa"/>
            <w:tcBorders>
              <w:top w:val="nil"/>
              <w:left w:val="nil"/>
              <w:bottom w:val="single" w:sz="4" w:space="0" w:color="auto"/>
              <w:right w:val="single" w:sz="4" w:space="0" w:color="auto"/>
            </w:tcBorders>
            <w:shd w:val="clear" w:color="auto" w:fill="auto"/>
            <w:noWrap/>
            <w:vAlign w:val="center"/>
            <w:hideMark/>
          </w:tcPr>
          <w:p w14:paraId="6086293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2020/03/26</w:t>
            </w:r>
          </w:p>
        </w:tc>
        <w:tc>
          <w:tcPr>
            <w:tcW w:w="1540" w:type="dxa"/>
            <w:tcBorders>
              <w:top w:val="nil"/>
              <w:left w:val="nil"/>
              <w:bottom w:val="single" w:sz="4" w:space="0" w:color="auto"/>
              <w:right w:val="single" w:sz="4" w:space="0" w:color="auto"/>
            </w:tcBorders>
            <w:shd w:val="clear" w:color="auto" w:fill="auto"/>
            <w:noWrap/>
            <w:vAlign w:val="center"/>
            <w:hideMark/>
          </w:tcPr>
          <w:p w14:paraId="15E7468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3.913.240.064 </w:t>
            </w:r>
          </w:p>
        </w:tc>
      </w:tr>
      <w:tr w:rsidR="00826439" w:rsidRPr="00826439" w14:paraId="7E5F53A7"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E1AB7C5"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44</w:t>
            </w:r>
          </w:p>
        </w:tc>
        <w:tc>
          <w:tcPr>
            <w:tcW w:w="1160" w:type="dxa"/>
            <w:tcBorders>
              <w:top w:val="nil"/>
              <w:left w:val="nil"/>
              <w:bottom w:val="single" w:sz="4" w:space="0" w:color="auto"/>
              <w:right w:val="single" w:sz="4" w:space="0" w:color="auto"/>
            </w:tcBorders>
            <w:shd w:val="clear" w:color="auto" w:fill="auto"/>
            <w:noWrap/>
            <w:vAlign w:val="center"/>
            <w:hideMark/>
          </w:tcPr>
          <w:p w14:paraId="6208FE5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0E135B7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3.874.197.041 </w:t>
            </w:r>
          </w:p>
        </w:tc>
        <w:tc>
          <w:tcPr>
            <w:tcW w:w="640" w:type="dxa"/>
            <w:tcBorders>
              <w:top w:val="nil"/>
              <w:left w:val="nil"/>
              <w:bottom w:val="single" w:sz="4" w:space="0" w:color="auto"/>
              <w:right w:val="single" w:sz="4" w:space="0" w:color="auto"/>
            </w:tcBorders>
            <w:shd w:val="clear" w:color="auto" w:fill="auto"/>
            <w:noWrap/>
            <w:vAlign w:val="center"/>
            <w:hideMark/>
          </w:tcPr>
          <w:p w14:paraId="17A83BE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122237</w:t>
            </w:r>
          </w:p>
        </w:tc>
        <w:tc>
          <w:tcPr>
            <w:tcW w:w="840" w:type="dxa"/>
            <w:tcBorders>
              <w:top w:val="nil"/>
              <w:left w:val="nil"/>
              <w:bottom w:val="single" w:sz="4" w:space="0" w:color="auto"/>
              <w:right w:val="single" w:sz="4" w:space="0" w:color="auto"/>
            </w:tcBorders>
            <w:shd w:val="clear" w:color="auto" w:fill="auto"/>
            <w:noWrap/>
            <w:vAlign w:val="center"/>
            <w:hideMark/>
          </w:tcPr>
          <w:p w14:paraId="2C0F8AD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6B4E96E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4100D1B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577B698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2019/07/29</w:t>
            </w:r>
          </w:p>
        </w:tc>
        <w:tc>
          <w:tcPr>
            <w:tcW w:w="960" w:type="dxa"/>
            <w:tcBorders>
              <w:top w:val="nil"/>
              <w:left w:val="nil"/>
              <w:bottom w:val="single" w:sz="4" w:space="0" w:color="auto"/>
              <w:right w:val="single" w:sz="4" w:space="0" w:color="auto"/>
            </w:tcBorders>
            <w:shd w:val="clear" w:color="auto" w:fill="auto"/>
            <w:noWrap/>
            <w:vAlign w:val="center"/>
            <w:hideMark/>
          </w:tcPr>
          <w:p w14:paraId="348C0B0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2020/03/26</w:t>
            </w:r>
          </w:p>
        </w:tc>
        <w:tc>
          <w:tcPr>
            <w:tcW w:w="1540" w:type="dxa"/>
            <w:tcBorders>
              <w:top w:val="nil"/>
              <w:left w:val="nil"/>
              <w:bottom w:val="single" w:sz="4" w:space="0" w:color="auto"/>
              <w:right w:val="single" w:sz="4" w:space="0" w:color="auto"/>
            </w:tcBorders>
            <w:shd w:val="clear" w:color="auto" w:fill="auto"/>
            <w:noWrap/>
            <w:vAlign w:val="center"/>
            <w:hideMark/>
          </w:tcPr>
          <w:p w14:paraId="7B90D59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3.955.303.938 </w:t>
            </w:r>
          </w:p>
        </w:tc>
      </w:tr>
      <w:tr w:rsidR="00826439" w:rsidRPr="00826439" w14:paraId="4EAED76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A191E4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45</w:t>
            </w:r>
          </w:p>
        </w:tc>
        <w:tc>
          <w:tcPr>
            <w:tcW w:w="1160" w:type="dxa"/>
            <w:tcBorders>
              <w:top w:val="nil"/>
              <w:left w:val="nil"/>
              <w:bottom w:val="single" w:sz="4" w:space="0" w:color="auto"/>
              <w:right w:val="single" w:sz="4" w:space="0" w:color="auto"/>
            </w:tcBorders>
            <w:shd w:val="clear" w:color="auto" w:fill="auto"/>
            <w:noWrap/>
            <w:vAlign w:val="center"/>
            <w:hideMark/>
          </w:tcPr>
          <w:p w14:paraId="20ABB0A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75A50A9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18.813.256.774 </w:t>
            </w:r>
          </w:p>
        </w:tc>
        <w:tc>
          <w:tcPr>
            <w:tcW w:w="640" w:type="dxa"/>
            <w:tcBorders>
              <w:top w:val="nil"/>
              <w:left w:val="nil"/>
              <w:bottom w:val="single" w:sz="4" w:space="0" w:color="auto"/>
              <w:right w:val="single" w:sz="4" w:space="0" w:color="auto"/>
            </w:tcBorders>
            <w:shd w:val="clear" w:color="auto" w:fill="auto"/>
            <w:noWrap/>
            <w:vAlign w:val="center"/>
            <w:hideMark/>
          </w:tcPr>
          <w:p w14:paraId="579398A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118454</w:t>
            </w:r>
          </w:p>
        </w:tc>
        <w:tc>
          <w:tcPr>
            <w:tcW w:w="840" w:type="dxa"/>
            <w:tcBorders>
              <w:top w:val="nil"/>
              <w:left w:val="nil"/>
              <w:bottom w:val="single" w:sz="4" w:space="0" w:color="auto"/>
              <w:right w:val="single" w:sz="4" w:space="0" w:color="auto"/>
            </w:tcBorders>
            <w:shd w:val="clear" w:color="auto" w:fill="auto"/>
            <w:noWrap/>
            <w:vAlign w:val="center"/>
            <w:hideMark/>
          </w:tcPr>
          <w:p w14:paraId="5454CE4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547A8B2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4,91%</w:t>
            </w:r>
          </w:p>
        </w:tc>
        <w:tc>
          <w:tcPr>
            <w:tcW w:w="820" w:type="dxa"/>
            <w:tcBorders>
              <w:top w:val="nil"/>
              <w:left w:val="nil"/>
              <w:bottom w:val="single" w:sz="4" w:space="0" w:color="auto"/>
              <w:right w:val="single" w:sz="4" w:space="0" w:color="auto"/>
            </w:tcBorders>
            <w:shd w:val="clear" w:color="auto" w:fill="auto"/>
            <w:noWrap/>
            <w:vAlign w:val="center"/>
            <w:hideMark/>
          </w:tcPr>
          <w:p w14:paraId="7C393FB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760" w:type="dxa"/>
            <w:tcBorders>
              <w:top w:val="nil"/>
              <w:left w:val="nil"/>
              <w:bottom w:val="single" w:sz="4" w:space="0" w:color="auto"/>
              <w:right w:val="single" w:sz="4" w:space="0" w:color="auto"/>
            </w:tcBorders>
            <w:shd w:val="clear" w:color="auto" w:fill="auto"/>
            <w:noWrap/>
            <w:vAlign w:val="center"/>
            <w:hideMark/>
          </w:tcPr>
          <w:p w14:paraId="3B4D520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2019/07/23</w:t>
            </w:r>
          </w:p>
        </w:tc>
        <w:tc>
          <w:tcPr>
            <w:tcW w:w="960" w:type="dxa"/>
            <w:tcBorders>
              <w:top w:val="nil"/>
              <w:left w:val="nil"/>
              <w:bottom w:val="single" w:sz="4" w:space="0" w:color="auto"/>
              <w:right w:val="single" w:sz="4" w:space="0" w:color="auto"/>
            </w:tcBorders>
            <w:shd w:val="clear" w:color="auto" w:fill="auto"/>
            <w:noWrap/>
            <w:vAlign w:val="center"/>
            <w:hideMark/>
          </w:tcPr>
          <w:p w14:paraId="2051942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2020/03/26</w:t>
            </w:r>
          </w:p>
        </w:tc>
        <w:tc>
          <w:tcPr>
            <w:tcW w:w="1540" w:type="dxa"/>
            <w:tcBorders>
              <w:top w:val="nil"/>
              <w:left w:val="nil"/>
              <w:bottom w:val="single" w:sz="4" w:space="0" w:color="auto"/>
              <w:right w:val="single" w:sz="4" w:space="0" w:color="auto"/>
            </w:tcBorders>
            <w:shd w:val="clear" w:color="auto" w:fill="auto"/>
            <w:noWrap/>
            <w:vAlign w:val="center"/>
            <w:hideMark/>
          </w:tcPr>
          <w:p w14:paraId="74ADE81F" w14:textId="3B6AA633"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19.219.111.480 </w:t>
            </w:r>
          </w:p>
        </w:tc>
      </w:tr>
      <w:tr w:rsidR="00826439" w:rsidRPr="00826439" w14:paraId="6931809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48BA60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46</w:t>
            </w:r>
          </w:p>
        </w:tc>
        <w:tc>
          <w:tcPr>
            <w:tcW w:w="1160" w:type="dxa"/>
            <w:tcBorders>
              <w:top w:val="nil"/>
              <w:left w:val="nil"/>
              <w:bottom w:val="single" w:sz="4" w:space="0" w:color="auto"/>
              <w:right w:val="single" w:sz="4" w:space="0" w:color="auto"/>
            </w:tcBorders>
            <w:shd w:val="clear" w:color="auto" w:fill="auto"/>
            <w:noWrap/>
            <w:vAlign w:val="center"/>
            <w:hideMark/>
          </w:tcPr>
          <w:p w14:paraId="1C6C1E5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7AD4253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6.471.263.845 </w:t>
            </w:r>
          </w:p>
        </w:tc>
        <w:tc>
          <w:tcPr>
            <w:tcW w:w="640" w:type="dxa"/>
            <w:tcBorders>
              <w:top w:val="nil"/>
              <w:left w:val="nil"/>
              <w:bottom w:val="single" w:sz="4" w:space="0" w:color="auto"/>
              <w:right w:val="single" w:sz="4" w:space="0" w:color="auto"/>
            </w:tcBorders>
            <w:shd w:val="clear" w:color="auto" w:fill="auto"/>
            <w:noWrap/>
            <w:vAlign w:val="center"/>
            <w:hideMark/>
          </w:tcPr>
          <w:p w14:paraId="37A4079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124507</w:t>
            </w:r>
          </w:p>
        </w:tc>
        <w:tc>
          <w:tcPr>
            <w:tcW w:w="840" w:type="dxa"/>
            <w:tcBorders>
              <w:top w:val="nil"/>
              <w:left w:val="nil"/>
              <w:bottom w:val="single" w:sz="4" w:space="0" w:color="auto"/>
              <w:right w:val="single" w:sz="4" w:space="0" w:color="auto"/>
            </w:tcBorders>
            <w:shd w:val="clear" w:color="auto" w:fill="auto"/>
            <w:noWrap/>
            <w:vAlign w:val="center"/>
            <w:hideMark/>
          </w:tcPr>
          <w:p w14:paraId="2AC3313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242</w:t>
            </w:r>
          </w:p>
        </w:tc>
        <w:tc>
          <w:tcPr>
            <w:tcW w:w="760" w:type="dxa"/>
            <w:tcBorders>
              <w:top w:val="nil"/>
              <w:left w:val="nil"/>
              <w:bottom w:val="single" w:sz="4" w:space="0" w:color="auto"/>
              <w:right w:val="single" w:sz="4" w:space="0" w:color="auto"/>
            </w:tcBorders>
            <w:shd w:val="clear" w:color="auto" w:fill="auto"/>
            <w:noWrap/>
            <w:vAlign w:val="center"/>
            <w:hideMark/>
          </w:tcPr>
          <w:p w14:paraId="1D433E1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37B25DB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4,96%</w:t>
            </w:r>
          </w:p>
        </w:tc>
        <w:tc>
          <w:tcPr>
            <w:tcW w:w="760" w:type="dxa"/>
            <w:tcBorders>
              <w:top w:val="nil"/>
              <w:left w:val="nil"/>
              <w:bottom w:val="single" w:sz="4" w:space="0" w:color="auto"/>
              <w:right w:val="single" w:sz="4" w:space="0" w:color="auto"/>
            </w:tcBorders>
            <w:shd w:val="clear" w:color="auto" w:fill="auto"/>
            <w:noWrap/>
            <w:vAlign w:val="center"/>
            <w:hideMark/>
          </w:tcPr>
          <w:p w14:paraId="50C1E90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2019/07/31</w:t>
            </w:r>
          </w:p>
        </w:tc>
        <w:tc>
          <w:tcPr>
            <w:tcW w:w="960" w:type="dxa"/>
            <w:tcBorders>
              <w:top w:val="nil"/>
              <w:left w:val="nil"/>
              <w:bottom w:val="single" w:sz="4" w:space="0" w:color="auto"/>
              <w:right w:val="single" w:sz="4" w:space="0" w:color="auto"/>
            </w:tcBorders>
            <w:shd w:val="clear" w:color="auto" w:fill="auto"/>
            <w:noWrap/>
            <w:vAlign w:val="center"/>
            <w:hideMark/>
          </w:tcPr>
          <w:p w14:paraId="3A15B08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2020/03/30</w:t>
            </w:r>
          </w:p>
        </w:tc>
        <w:tc>
          <w:tcPr>
            <w:tcW w:w="1540" w:type="dxa"/>
            <w:tcBorders>
              <w:top w:val="nil"/>
              <w:left w:val="nil"/>
              <w:bottom w:val="single" w:sz="4" w:space="0" w:color="auto"/>
              <w:right w:val="single" w:sz="4" w:space="0" w:color="auto"/>
            </w:tcBorders>
            <w:shd w:val="clear" w:color="auto" w:fill="auto"/>
            <w:noWrap/>
            <w:vAlign w:val="center"/>
            <w:hideMark/>
          </w:tcPr>
          <w:p w14:paraId="6D22C02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6.604.975.572 </w:t>
            </w:r>
          </w:p>
        </w:tc>
      </w:tr>
      <w:tr w:rsidR="00826439" w:rsidRPr="00826439" w14:paraId="3A5C089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B1EE92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47</w:t>
            </w:r>
          </w:p>
        </w:tc>
        <w:tc>
          <w:tcPr>
            <w:tcW w:w="1160" w:type="dxa"/>
            <w:tcBorders>
              <w:top w:val="nil"/>
              <w:left w:val="nil"/>
              <w:bottom w:val="single" w:sz="4" w:space="0" w:color="auto"/>
              <w:right w:val="single" w:sz="4" w:space="0" w:color="auto"/>
            </w:tcBorders>
            <w:shd w:val="clear" w:color="auto" w:fill="auto"/>
            <w:noWrap/>
            <w:vAlign w:val="center"/>
            <w:hideMark/>
          </w:tcPr>
          <w:p w14:paraId="5BE3AE9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48AE0237" w14:textId="4771864E"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2.780.065.679 </w:t>
            </w:r>
          </w:p>
        </w:tc>
        <w:tc>
          <w:tcPr>
            <w:tcW w:w="640" w:type="dxa"/>
            <w:tcBorders>
              <w:top w:val="nil"/>
              <w:left w:val="nil"/>
              <w:bottom w:val="single" w:sz="4" w:space="0" w:color="auto"/>
              <w:right w:val="single" w:sz="4" w:space="0" w:color="auto"/>
            </w:tcBorders>
            <w:shd w:val="clear" w:color="auto" w:fill="auto"/>
            <w:noWrap/>
            <w:vAlign w:val="center"/>
            <w:hideMark/>
          </w:tcPr>
          <w:p w14:paraId="5697E1A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122294</w:t>
            </w:r>
          </w:p>
        </w:tc>
        <w:tc>
          <w:tcPr>
            <w:tcW w:w="840" w:type="dxa"/>
            <w:tcBorders>
              <w:top w:val="nil"/>
              <w:left w:val="nil"/>
              <w:bottom w:val="single" w:sz="4" w:space="0" w:color="auto"/>
              <w:right w:val="single" w:sz="4" w:space="0" w:color="auto"/>
            </w:tcBorders>
            <w:shd w:val="clear" w:color="auto" w:fill="auto"/>
            <w:noWrap/>
            <w:vAlign w:val="center"/>
            <w:hideMark/>
          </w:tcPr>
          <w:p w14:paraId="1BB7BBAD"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241</w:t>
            </w:r>
          </w:p>
        </w:tc>
        <w:tc>
          <w:tcPr>
            <w:tcW w:w="760" w:type="dxa"/>
            <w:tcBorders>
              <w:top w:val="nil"/>
              <w:left w:val="nil"/>
              <w:bottom w:val="single" w:sz="4" w:space="0" w:color="auto"/>
              <w:right w:val="single" w:sz="4" w:space="0" w:color="auto"/>
            </w:tcBorders>
            <w:shd w:val="clear" w:color="auto" w:fill="auto"/>
            <w:noWrap/>
            <w:vAlign w:val="center"/>
            <w:hideMark/>
          </w:tcPr>
          <w:p w14:paraId="72A79BAF"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230C7F7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5,06%</w:t>
            </w:r>
          </w:p>
        </w:tc>
        <w:tc>
          <w:tcPr>
            <w:tcW w:w="760" w:type="dxa"/>
            <w:tcBorders>
              <w:top w:val="nil"/>
              <w:left w:val="nil"/>
              <w:bottom w:val="single" w:sz="4" w:space="0" w:color="auto"/>
              <w:right w:val="single" w:sz="4" w:space="0" w:color="auto"/>
            </w:tcBorders>
            <w:shd w:val="clear" w:color="auto" w:fill="auto"/>
            <w:noWrap/>
            <w:vAlign w:val="center"/>
            <w:hideMark/>
          </w:tcPr>
          <w:p w14:paraId="31839C1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2019/07/29</w:t>
            </w:r>
          </w:p>
        </w:tc>
        <w:tc>
          <w:tcPr>
            <w:tcW w:w="960" w:type="dxa"/>
            <w:tcBorders>
              <w:top w:val="nil"/>
              <w:left w:val="nil"/>
              <w:bottom w:val="single" w:sz="4" w:space="0" w:color="auto"/>
              <w:right w:val="single" w:sz="4" w:space="0" w:color="auto"/>
            </w:tcBorders>
            <w:shd w:val="clear" w:color="auto" w:fill="auto"/>
            <w:noWrap/>
            <w:vAlign w:val="center"/>
            <w:hideMark/>
          </w:tcPr>
          <w:p w14:paraId="2107718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2020/03/30</w:t>
            </w:r>
          </w:p>
        </w:tc>
        <w:tc>
          <w:tcPr>
            <w:tcW w:w="1540" w:type="dxa"/>
            <w:tcBorders>
              <w:top w:val="nil"/>
              <w:left w:val="nil"/>
              <w:bottom w:val="single" w:sz="4" w:space="0" w:color="auto"/>
              <w:right w:val="single" w:sz="4" w:space="0" w:color="auto"/>
            </w:tcBorders>
            <w:shd w:val="clear" w:color="auto" w:fill="auto"/>
            <w:noWrap/>
            <w:vAlign w:val="center"/>
            <w:hideMark/>
          </w:tcPr>
          <w:p w14:paraId="359BF03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2.839.255.323 </w:t>
            </w:r>
          </w:p>
        </w:tc>
      </w:tr>
      <w:tr w:rsidR="00826439" w:rsidRPr="00826439" w14:paraId="22588F7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7C32834"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48</w:t>
            </w:r>
          </w:p>
        </w:tc>
        <w:tc>
          <w:tcPr>
            <w:tcW w:w="1160" w:type="dxa"/>
            <w:tcBorders>
              <w:top w:val="nil"/>
              <w:left w:val="nil"/>
              <w:bottom w:val="single" w:sz="4" w:space="0" w:color="auto"/>
              <w:right w:val="single" w:sz="4" w:space="0" w:color="auto"/>
            </w:tcBorders>
            <w:shd w:val="clear" w:color="auto" w:fill="auto"/>
            <w:noWrap/>
            <w:vAlign w:val="center"/>
            <w:hideMark/>
          </w:tcPr>
          <w:p w14:paraId="14EA437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7A29CC9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17.895.193.624 </w:t>
            </w:r>
          </w:p>
        </w:tc>
        <w:tc>
          <w:tcPr>
            <w:tcW w:w="640" w:type="dxa"/>
            <w:tcBorders>
              <w:top w:val="nil"/>
              <w:left w:val="nil"/>
              <w:bottom w:val="single" w:sz="4" w:space="0" w:color="auto"/>
              <w:right w:val="single" w:sz="4" w:space="0" w:color="auto"/>
            </w:tcBorders>
            <w:shd w:val="clear" w:color="auto" w:fill="auto"/>
            <w:noWrap/>
            <w:vAlign w:val="center"/>
            <w:hideMark/>
          </w:tcPr>
          <w:p w14:paraId="3099CF5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161548</w:t>
            </w:r>
          </w:p>
        </w:tc>
        <w:tc>
          <w:tcPr>
            <w:tcW w:w="840" w:type="dxa"/>
            <w:tcBorders>
              <w:top w:val="nil"/>
              <w:left w:val="nil"/>
              <w:bottom w:val="single" w:sz="4" w:space="0" w:color="auto"/>
              <w:right w:val="single" w:sz="4" w:space="0" w:color="auto"/>
            </w:tcBorders>
            <w:shd w:val="clear" w:color="auto" w:fill="auto"/>
            <w:noWrap/>
            <w:vAlign w:val="center"/>
            <w:hideMark/>
          </w:tcPr>
          <w:p w14:paraId="17B2F4A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183</w:t>
            </w:r>
          </w:p>
        </w:tc>
        <w:tc>
          <w:tcPr>
            <w:tcW w:w="760" w:type="dxa"/>
            <w:tcBorders>
              <w:top w:val="nil"/>
              <w:left w:val="nil"/>
              <w:bottom w:val="single" w:sz="4" w:space="0" w:color="auto"/>
              <w:right w:val="single" w:sz="4" w:space="0" w:color="auto"/>
            </w:tcBorders>
            <w:shd w:val="clear" w:color="auto" w:fill="auto"/>
            <w:noWrap/>
            <w:vAlign w:val="center"/>
            <w:hideMark/>
          </w:tcPr>
          <w:p w14:paraId="475F595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2FF2654C"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0124EB8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2019/10/02</w:t>
            </w:r>
          </w:p>
        </w:tc>
        <w:tc>
          <w:tcPr>
            <w:tcW w:w="960" w:type="dxa"/>
            <w:tcBorders>
              <w:top w:val="nil"/>
              <w:left w:val="nil"/>
              <w:bottom w:val="single" w:sz="4" w:space="0" w:color="auto"/>
              <w:right w:val="single" w:sz="4" w:space="0" w:color="auto"/>
            </w:tcBorders>
            <w:shd w:val="clear" w:color="auto" w:fill="auto"/>
            <w:noWrap/>
            <w:vAlign w:val="center"/>
            <w:hideMark/>
          </w:tcPr>
          <w:p w14:paraId="006C687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2020/04/03</w:t>
            </w:r>
          </w:p>
        </w:tc>
        <w:tc>
          <w:tcPr>
            <w:tcW w:w="1540" w:type="dxa"/>
            <w:tcBorders>
              <w:top w:val="nil"/>
              <w:left w:val="nil"/>
              <w:bottom w:val="single" w:sz="4" w:space="0" w:color="auto"/>
              <w:right w:val="single" w:sz="4" w:space="0" w:color="auto"/>
            </w:tcBorders>
            <w:shd w:val="clear" w:color="auto" w:fill="auto"/>
            <w:noWrap/>
            <w:vAlign w:val="center"/>
            <w:hideMark/>
          </w:tcPr>
          <w:p w14:paraId="59F18A6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18.105.396.257 </w:t>
            </w:r>
          </w:p>
        </w:tc>
      </w:tr>
      <w:tr w:rsidR="00826439" w:rsidRPr="00826439" w14:paraId="7CBD0EA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A839561"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49</w:t>
            </w:r>
          </w:p>
        </w:tc>
        <w:tc>
          <w:tcPr>
            <w:tcW w:w="1160" w:type="dxa"/>
            <w:tcBorders>
              <w:top w:val="nil"/>
              <w:left w:val="nil"/>
              <w:bottom w:val="single" w:sz="4" w:space="0" w:color="auto"/>
              <w:right w:val="single" w:sz="4" w:space="0" w:color="auto"/>
            </w:tcBorders>
            <w:shd w:val="clear" w:color="auto" w:fill="auto"/>
            <w:noWrap/>
            <w:vAlign w:val="center"/>
            <w:hideMark/>
          </w:tcPr>
          <w:p w14:paraId="65066DF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42B5CB1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11.361.959.027 </w:t>
            </w:r>
          </w:p>
        </w:tc>
        <w:tc>
          <w:tcPr>
            <w:tcW w:w="640" w:type="dxa"/>
            <w:tcBorders>
              <w:top w:val="nil"/>
              <w:left w:val="nil"/>
              <w:bottom w:val="single" w:sz="4" w:space="0" w:color="auto"/>
              <w:right w:val="single" w:sz="4" w:space="0" w:color="auto"/>
            </w:tcBorders>
            <w:shd w:val="clear" w:color="auto" w:fill="auto"/>
            <w:noWrap/>
            <w:vAlign w:val="center"/>
            <w:hideMark/>
          </w:tcPr>
          <w:p w14:paraId="533CFE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133785</w:t>
            </w:r>
          </w:p>
        </w:tc>
        <w:tc>
          <w:tcPr>
            <w:tcW w:w="840" w:type="dxa"/>
            <w:tcBorders>
              <w:top w:val="nil"/>
              <w:left w:val="nil"/>
              <w:bottom w:val="single" w:sz="4" w:space="0" w:color="auto"/>
              <w:right w:val="single" w:sz="4" w:space="0" w:color="auto"/>
            </w:tcBorders>
            <w:shd w:val="clear" w:color="auto" w:fill="auto"/>
            <w:noWrap/>
            <w:vAlign w:val="center"/>
            <w:hideMark/>
          </w:tcPr>
          <w:p w14:paraId="6609042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213</w:t>
            </w:r>
          </w:p>
        </w:tc>
        <w:tc>
          <w:tcPr>
            <w:tcW w:w="760" w:type="dxa"/>
            <w:tcBorders>
              <w:top w:val="nil"/>
              <w:left w:val="nil"/>
              <w:bottom w:val="single" w:sz="4" w:space="0" w:color="auto"/>
              <w:right w:val="single" w:sz="4" w:space="0" w:color="auto"/>
            </w:tcBorders>
            <w:shd w:val="clear" w:color="auto" w:fill="auto"/>
            <w:noWrap/>
            <w:vAlign w:val="center"/>
            <w:hideMark/>
          </w:tcPr>
          <w:p w14:paraId="02F2012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1923D21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0E40C0A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2019/08/30</w:t>
            </w:r>
          </w:p>
        </w:tc>
        <w:tc>
          <w:tcPr>
            <w:tcW w:w="960" w:type="dxa"/>
            <w:tcBorders>
              <w:top w:val="nil"/>
              <w:left w:val="nil"/>
              <w:bottom w:val="single" w:sz="4" w:space="0" w:color="auto"/>
              <w:right w:val="single" w:sz="4" w:space="0" w:color="auto"/>
            </w:tcBorders>
            <w:shd w:val="clear" w:color="auto" w:fill="auto"/>
            <w:noWrap/>
            <w:vAlign w:val="center"/>
            <w:hideMark/>
          </w:tcPr>
          <w:p w14:paraId="652B01B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2020/04/03</w:t>
            </w:r>
          </w:p>
        </w:tc>
        <w:tc>
          <w:tcPr>
            <w:tcW w:w="1540" w:type="dxa"/>
            <w:tcBorders>
              <w:top w:val="nil"/>
              <w:left w:val="nil"/>
              <w:bottom w:val="single" w:sz="4" w:space="0" w:color="auto"/>
              <w:right w:val="single" w:sz="4" w:space="0" w:color="auto"/>
            </w:tcBorders>
            <w:shd w:val="clear" w:color="auto" w:fill="auto"/>
            <w:noWrap/>
            <w:vAlign w:val="center"/>
            <w:hideMark/>
          </w:tcPr>
          <w:p w14:paraId="3DEE5EF1" w14:textId="0576CAB9"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11.547.555.801 </w:t>
            </w:r>
          </w:p>
        </w:tc>
      </w:tr>
      <w:tr w:rsidR="00826439" w:rsidRPr="00826439" w14:paraId="4B681D93"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BE7107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50</w:t>
            </w:r>
          </w:p>
        </w:tc>
        <w:tc>
          <w:tcPr>
            <w:tcW w:w="1160" w:type="dxa"/>
            <w:tcBorders>
              <w:top w:val="nil"/>
              <w:left w:val="nil"/>
              <w:bottom w:val="single" w:sz="4" w:space="0" w:color="auto"/>
              <w:right w:val="single" w:sz="4" w:space="0" w:color="auto"/>
            </w:tcBorders>
            <w:shd w:val="clear" w:color="auto" w:fill="auto"/>
            <w:noWrap/>
            <w:vAlign w:val="center"/>
            <w:hideMark/>
          </w:tcPr>
          <w:p w14:paraId="6A6FF80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48A168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5.057.745.000 </w:t>
            </w:r>
          </w:p>
        </w:tc>
        <w:tc>
          <w:tcPr>
            <w:tcW w:w="640" w:type="dxa"/>
            <w:tcBorders>
              <w:top w:val="nil"/>
              <w:left w:val="nil"/>
              <w:bottom w:val="single" w:sz="4" w:space="0" w:color="auto"/>
              <w:right w:val="single" w:sz="4" w:space="0" w:color="auto"/>
            </w:tcBorders>
            <w:shd w:val="clear" w:color="auto" w:fill="auto"/>
            <w:noWrap/>
            <w:vAlign w:val="center"/>
            <w:hideMark/>
          </w:tcPr>
          <w:p w14:paraId="2090176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138663</w:t>
            </w:r>
          </w:p>
        </w:tc>
        <w:tc>
          <w:tcPr>
            <w:tcW w:w="840" w:type="dxa"/>
            <w:tcBorders>
              <w:top w:val="nil"/>
              <w:left w:val="nil"/>
              <w:bottom w:val="single" w:sz="4" w:space="0" w:color="auto"/>
              <w:right w:val="single" w:sz="4" w:space="0" w:color="auto"/>
            </w:tcBorders>
            <w:shd w:val="clear" w:color="auto" w:fill="auto"/>
            <w:noWrap/>
            <w:vAlign w:val="center"/>
            <w:hideMark/>
          </w:tcPr>
          <w:p w14:paraId="52DED81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120</w:t>
            </w:r>
          </w:p>
        </w:tc>
        <w:tc>
          <w:tcPr>
            <w:tcW w:w="760" w:type="dxa"/>
            <w:tcBorders>
              <w:top w:val="nil"/>
              <w:left w:val="nil"/>
              <w:bottom w:val="single" w:sz="4" w:space="0" w:color="auto"/>
              <w:right w:val="single" w:sz="4" w:space="0" w:color="auto"/>
            </w:tcBorders>
            <w:shd w:val="clear" w:color="auto" w:fill="auto"/>
            <w:noWrap/>
            <w:vAlign w:val="center"/>
            <w:hideMark/>
          </w:tcPr>
          <w:p w14:paraId="4A15702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337C7B0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4,77%</w:t>
            </w:r>
          </w:p>
        </w:tc>
        <w:tc>
          <w:tcPr>
            <w:tcW w:w="760" w:type="dxa"/>
            <w:tcBorders>
              <w:top w:val="nil"/>
              <w:left w:val="nil"/>
              <w:bottom w:val="single" w:sz="4" w:space="0" w:color="auto"/>
              <w:right w:val="single" w:sz="4" w:space="0" w:color="auto"/>
            </w:tcBorders>
            <w:shd w:val="clear" w:color="auto" w:fill="auto"/>
            <w:noWrap/>
            <w:vAlign w:val="center"/>
            <w:hideMark/>
          </w:tcPr>
          <w:p w14:paraId="4988CD3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2019/12/04</w:t>
            </w:r>
          </w:p>
        </w:tc>
        <w:tc>
          <w:tcPr>
            <w:tcW w:w="960" w:type="dxa"/>
            <w:tcBorders>
              <w:top w:val="nil"/>
              <w:left w:val="nil"/>
              <w:bottom w:val="single" w:sz="4" w:space="0" w:color="auto"/>
              <w:right w:val="single" w:sz="4" w:space="0" w:color="auto"/>
            </w:tcBorders>
            <w:shd w:val="clear" w:color="auto" w:fill="auto"/>
            <w:noWrap/>
            <w:vAlign w:val="center"/>
            <w:hideMark/>
          </w:tcPr>
          <w:p w14:paraId="203521E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2020/04/04</w:t>
            </w:r>
          </w:p>
        </w:tc>
        <w:tc>
          <w:tcPr>
            <w:tcW w:w="1540" w:type="dxa"/>
            <w:tcBorders>
              <w:top w:val="nil"/>
              <w:left w:val="nil"/>
              <w:bottom w:val="single" w:sz="4" w:space="0" w:color="auto"/>
              <w:right w:val="single" w:sz="4" w:space="0" w:color="auto"/>
            </w:tcBorders>
            <w:shd w:val="clear" w:color="auto" w:fill="auto"/>
            <w:noWrap/>
            <w:vAlign w:val="center"/>
            <w:hideMark/>
          </w:tcPr>
          <w:p w14:paraId="3163595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5.075.595.727 </w:t>
            </w:r>
          </w:p>
        </w:tc>
      </w:tr>
      <w:tr w:rsidR="00826439" w:rsidRPr="00826439" w14:paraId="2D6213D5"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443739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51</w:t>
            </w:r>
          </w:p>
        </w:tc>
        <w:tc>
          <w:tcPr>
            <w:tcW w:w="1160" w:type="dxa"/>
            <w:tcBorders>
              <w:top w:val="nil"/>
              <w:left w:val="nil"/>
              <w:bottom w:val="single" w:sz="4" w:space="0" w:color="auto"/>
              <w:right w:val="single" w:sz="4" w:space="0" w:color="auto"/>
            </w:tcBorders>
            <w:shd w:val="clear" w:color="auto" w:fill="auto"/>
            <w:noWrap/>
            <w:vAlign w:val="center"/>
            <w:hideMark/>
          </w:tcPr>
          <w:p w14:paraId="5AB6EE0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36D671F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5.125.915.000 </w:t>
            </w:r>
          </w:p>
        </w:tc>
        <w:tc>
          <w:tcPr>
            <w:tcW w:w="640" w:type="dxa"/>
            <w:tcBorders>
              <w:top w:val="nil"/>
              <w:left w:val="nil"/>
              <w:bottom w:val="single" w:sz="4" w:space="0" w:color="auto"/>
              <w:right w:val="single" w:sz="4" w:space="0" w:color="auto"/>
            </w:tcBorders>
            <w:shd w:val="clear" w:color="auto" w:fill="auto"/>
            <w:noWrap/>
            <w:vAlign w:val="center"/>
            <w:hideMark/>
          </w:tcPr>
          <w:p w14:paraId="5BDEC80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145509</w:t>
            </w:r>
          </w:p>
        </w:tc>
        <w:tc>
          <w:tcPr>
            <w:tcW w:w="840" w:type="dxa"/>
            <w:tcBorders>
              <w:top w:val="nil"/>
              <w:left w:val="nil"/>
              <w:bottom w:val="single" w:sz="4" w:space="0" w:color="auto"/>
              <w:right w:val="single" w:sz="4" w:space="0" w:color="auto"/>
            </w:tcBorders>
            <w:shd w:val="clear" w:color="auto" w:fill="auto"/>
            <w:noWrap/>
            <w:vAlign w:val="center"/>
            <w:hideMark/>
          </w:tcPr>
          <w:p w14:paraId="0CAC905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211</w:t>
            </w:r>
          </w:p>
        </w:tc>
        <w:tc>
          <w:tcPr>
            <w:tcW w:w="760" w:type="dxa"/>
            <w:tcBorders>
              <w:top w:val="nil"/>
              <w:left w:val="nil"/>
              <w:bottom w:val="single" w:sz="4" w:space="0" w:color="auto"/>
              <w:right w:val="single" w:sz="4" w:space="0" w:color="auto"/>
            </w:tcBorders>
            <w:shd w:val="clear" w:color="auto" w:fill="auto"/>
            <w:noWrap/>
            <w:vAlign w:val="center"/>
            <w:hideMark/>
          </w:tcPr>
          <w:p w14:paraId="5329D3E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06B372F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2D4EB8C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2019/09/05</w:t>
            </w:r>
          </w:p>
        </w:tc>
        <w:tc>
          <w:tcPr>
            <w:tcW w:w="960" w:type="dxa"/>
            <w:tcBorders>
              <w:top w:val="nil"/>
              <w:left w:val="nil"/>
              <w:bottom w:val="single" w:sz="4" w:space="0" w:color="auto"/>
              <w:right w:val="single" w:sz="4" w:space="0" w:color="auto"/>
            </w:tcBorders>
            <w:shd w:val="clear" w:color="auto" w:fill="auto"/>
            <w:noWrap/>
            <w:vAlign w:val="center"/>
            <w:hideMark/>
          </w:tcPr>
          <w:p w14:paraId="4013DA4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2020/04/06</w:t>
            </w:r>
          </w:p>
        </w:tc>
        <w:tc>
          <w:tcPr>
            <w:tcW w:w="1540" w:type="dxa"/>
            <w:tcBorders>
              <w:top w:val="nil"/>
              <w:left w:val="nil"/>
              <w:bottom w:val="single" w:sz="4" w:space="0" w:color="auto"/>
              <w:right w:val="single" w:sz="4" w:space="0" w:color="auto"/>
            </w:tcBorders>
            <w:shd w:val="clear" w:color="auto" w:fill="auto"/>
            <w:noWrap/>
            <w:vAlign w:val="center"/>
            <w:hideMark/>
          </w:tcPr>
          <w:p w14:paraId="54AA894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5.205.890.630 </w:t>
            </w:r>
          </w:p>
        </w:tc>
      </w:tr>
      <w:tr w:rsidR="00826439" w:rsidRPr="00826439" w14:paraId="62812848"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69FA97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52</w:t>
            </w:r>
          </w:p>
        </w:tc>
        <w:tc>
          <w:tcPr>
            <w:tcW w:w="1160" w:type="dxa"/>
            <w:tcBorders>
              <w:top w:val="nil"/>
              <w:left w:val="nil"/>
              <w:bottom w:val="single" w:sz="4" w:space="0" w:color="auto"/>
              <w:right w:val="single" w:sz="4" w:space="0" w:color="auto"/>
            </w:tcBorders>
            <w:shd w:val="clear" w:color="auto" w:fill="auto"/>
            <w:noWrap/>
            <w:vAlign w:val="center"/>
            <w:hideMark/>
          </w:tcPr>
          <w:p w14:paraId="563456C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30F2CEE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1.631.564.254 </w:t>
            </w:r>
          </w:p>
        </w:tc>
        <w:tc>
          <w:tcPr>
            <w:tcW w:w="640" w:type="dxa"/>
            <w:tcBorders>
              <w:top w:val="nil"/>
              <w:left w:val="nil"/>
              <w:bottom w:val="single" w:sz="4" w:space="0" w:color="auto"/>
              <w:right w:val="single" w:sz="4" w:space="0" w:color="auto"/>
            </w:tcBorders>
            <w:shd w:val="clear" w:color="auto" w:fill="auto"/>
            <w:noWrap/>
            <w:vAlign w:val="center"/>
            <w:hideMark/>
          </w:tcPr>
          <w:p w14:paraId="6DF7C13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185055</w:t>
            </w:r>
          </w:p>
        </w:tc>
        <w:tc>
          <w:tcPr>
            <w:tcW w:w="840" w:type="dxa"/>
            <w:tcBorders>
              <w:top w:val="nil"/>
              <w:left w:val="nil"/>
              <w:bottom w:val="single" w:sz="4" w:space="0" w:color="auto"/>
              <w:right w:val="single" w:sz="4" w:space="0" w:color="auto"/>
            </w:tcBorders>
            <w:shd w:val="clear" w:color="auto" w:fill="auto"/>
            <w:noWrap/>
            <w:vAlign w:val="center"/>
            <w:hideMark/>
          </w:tcPr>
          <w:p w14:paraId="54BB4FC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157</w:t>
            </w:r>
          </w:p>
        </w:tc>
        <w:tc>
          <w:tcPr>
            <w:tcW w:w="760" w:type="dxa"/>
            <w:tcBorders>
              <w:top w:val="nil"/>
              <w:left w:val="nil"/>
              <w:bottom w:val="single" w:sz="4" w:space="0" w:color="auto"/>
              <w:right w:val="single" w:sz="4" w:space="0" w:color="auto"/>
            </w:tcBorders>
            <w:shd w:val="clear" w:color="auto" w:fill="auto"/>
            <w:noWrap/>
            <w:vAlign w:val="center"/>
            <w:hideMark/>
          </w:tcPr>
          <w:p w14:paraId="30EFD97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4,65%</w:t>
            </w:r>
          </w:p>
        </w:tc>
        <w:tc>
          <w:tcPr>
            <w:tcW w:w="820" w:type="dxa"/>
            <w:tcBorders>
              <w:top w:val="nil"/>
              <w:left w:val="nil"/>
              <w:bottom w:val="single" w:sz="4" w:space="0" w:color="auto"/>
              <w:right w:val="single" w:sz="4" w:space="0" w:color="auto"/>
            </w:tcBorders>
            <w:shd w:val="clear" w:color="auto" w:fill="auto"/>
            <w:noWrap/>
            <w:vAlign w:val="center"/>
            <w:hideMark/>
          </w:tcPr>
          <w:p w14:paraId="7C7653B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4,59%</w:t>
            </w:r>
          </w:p>
        </w:tc>
        <w:tc>
          <w:tcPr>
            <w:tcW w:w="760" w:type="dxa"/>
            <w:tcBorders>
              <w:top w:val="nil"/>
              <w:left w:val="nil"/>
              <w:bottom w:val="single" w:sz="4" w:space="0" w:color="auto"/>
              <w:right w:val="single" w:sz="4" w:space="0" w:color="auto"/>
            </w:tcBorders>
            <w:shd w:val="clear" w:color="auto" w:fill="auto"/>
            <w:noWrap/>
            <w:vAlign w:val="center"/>
            <w:hideMark/>
          </w:tcPr>
          <w:p w14:paraId="62776BA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2019/11/07</w:t>
            </w:r>
          </w:p>
        </w:tc>
        <w:tc>
          <w:tcPr>
            <w:tcW w:w="960" w:type="dxa"/>
            <w:tcBorders>
              <w:top w:val="nil"/>
              <w:left w:val="nil"/>
              <w:bottom w:val="single" w:sz="4" w:space="0" w:color="auto"/>
              <w:right w:val="single" w:sz="4" w:space="0" w:color="auto"/>
            </w:tcBorders>
            <w:shd w:val="clear" w:color="auto" w:fill="auto"/>
            <w:noWrap/>
            <w:vAlign w:val="center"/>
            <w:hideMark/>
          </w:tcPr>
          <w:p w14:paraId="1A68BD9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2020/04/14</w:t>
            </w:r>
          </w:p>
        </w:tc>
        <w:tc>
          <w:tcPr>
            <w:tcW w:w="1540" w:type="dxa"/>
            <w:tcBorders>
              <w:top w:val="nil"/>
              <w:left w:val="nil"/>
              <w:bottom w:val="single" w:sz="4" w:space="0" w:color="auto"/>
              <w:right w:val="single" w:sz="4" w:space="0" w:color="auto"/>
            </w:tcBorders>
            <w:shd w:val="clear" w:color="auto" w:fill="auto"/>
            <w:noWrap/>
            <w:vAlign w:val="center"/>
            <w:hideMark/>
          </w:tcPr>
          <w:p w14:paraId="3F3EAD0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1.642.654.943 </w:t>
            </w:r>
          </w:p>
        </w:tc>
      </w:tr>
      <w:tr w:rsidR="00826439" w:rsidRPr="00826439" w14:paraId="111DC76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FF32F3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53</w:t>
            </w:r>
          </w:p>
        </w:tc>
        <w:tc>
          <w:tcPr>
            <w:tcW w:w="1160" w:type="dxa"/>
            <w:tcBorders>
              <w:top w:val="nil"/>
              <w:left w:val="nil"/>
              <w:bottom w:val="single" w:sz="4" w:space="0" w:color="auto"/>
              <w:right w:val="single" w:sz="4" w:space="0" w:color="auto"/>
            </w:tcBorders>
            <w:shd w:val="clear" w:color="auto" w:fill="auto"/>
            <w:noWrap/>
            <w:vAlign w:val="center"/>
            <w:hideMark/>
          </w:tcPr>
          <w:p w14:paraId="7F6741B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3752246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8.433.784.625 </w:t>
            </w:r>
          </w:p>
        </w:tc>
        <w:tc>
          <w:tcPr>
            <w:tcW w:w="640" w:type="dxa"/>
            <w:tcBorders>
              <w:top w:val="nil"/>
              <w:left w:val="nil"/>
              <w:bottom w:val="single" w:sz="4" w:space="0" w:color="auto"/>
              <w:right w:val="single" w:sz="4" w:space="0" w:color="auto"/>
            </w:tcBorders>
            <w:shd w:val="clear" w:color="auto" w:fill="auto"/>
            <w:noWrap/>
            <w:vAlign w:val="center"/>
            <w:hideMark/>
          </w:tcPr>
          <w:p w14:paraId="654AC84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162872</w:t>
            </w:r>
          </w:p>
        </w:tc>
        <w:tc>
          <w:tcPr>
            <w:tcW w:w="840" w:type="dxa"/>
            <w:tcBorders>
              <w:top w:val="nil"/>
              <w:left w:val="nil"/>
              <w:bottom w:val="single" w:sz="4" w:space="0" w:color="auto"/>
              <w:right w:val="single" w:sz="4" w:space="0" w:color="auto"/>
            </w:tcBorders>
            <w:shd w:val="clear" w:color="auto" w:fill="auto"/>
            <w:noWrap/>
            <w:vAlign w:val="center"/>
            <w:hideMark/>
          </w:tcPr>
          <w:p w14:paraId="00F2FFC1"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193</w:t>
            </w:r>
          </w:p>
        </w:tc>
        <w:tc>
          <w:tcPr>
            <w:tcW w:w="760" w:type="dxa"/>
            <w:tcBorders>
              <w:top w:val="nil"/>
              <w:left w:val="nil"/>
              <w:bottom w:val="single" w:sz="4" w:space="0" w:color="auto"/>
              <w:right w:val="single" w:sz="4" w:space="0" w:color="auto"/>
            </w:tcBorders>
            <w:shd w:val="clear" w:color="auto" w:fill="auto"/>
            <w:noWrap/>
            <w:vAlign w:val="center"/>
            <w:hideMark/>
          </w:tcPr>
          <w:p w14:paraId="054A310F"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0A48CACB"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4,84%</w:t>
            </w:r>
          </w:p>
        </w:tc>
        <w:tc>
          <w:tcPr>
            <w:tcW w:w="760" w:type="dxa"/>
            <w:tcBorders>
              <w:top w:val="nil"/>
              <w:left w:val="nil"/>
              <w:bottom w:val="single" w:sz="4" w:space="0" w:color="auto"/>
              <w:right w:val="single" w:sz="4" w:space="0" w:color="auto"/>
            </w:tcBorders>
            <w:shd w:val="clear" w:color="auto" w:fill="auto"/>
            <w:noWrap/>
            <w:vAlign w:val="center"/>
            <w:hideMark/>
          </w:tcPr>
          <w:p w14:paraId="2598918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2019/10/04</w:t>
            </w:r>
          </w:p>
        </w:tc>
        <w:tc>
          <w:tcPr>
            <w:tcW w:w="960" w:type="dxa"/>
            <w:tcBorders>
              <w:top w:val="nil"/>
              <w:left w:val="nil"/>
              <w:bottom w:val="single" w:sz="4" w:space="0" w:color="auto"/>
              <w:right w:val="single" w:sz="4" w:space="0" w:color="auto"/>
            </w:tcBorders>
            <w:shd w:val="clear" w:color="auto" w:fill="auto"/>
            <w:noWrap/>
            <w:vAlign w:val="center"/>
            <w:hideMark/>
          </w:tcPr>
          <w:p w14:paraId="69133F4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2020/04/14</w:t>
            </w:r>
          </w:p>
        </w:tc>
        <w:tc>
          <w:tcPr>
            <w:tcW w:w="1540" w:type="dxa"/>
            <w:tcBorders>
              <w:top w:val="nil"/>
              <w:left w:val="nil"/>
              <w:bottom w:val="single" w:sz="4" w:space="0" w:color="auto"/>
              <w:right w:val="single" w:sz="4" w:space="0" w:color="auto"/>
            </w:tcBorders>
            <w:shd w:val="clear" w:color="auto" w:fill="auto"/>
            <w:noWrap/>
            <w:vAlign w:val="center"/>
            <w:hideMark/>
          </w:tcPr>
          <w:p w14:paraId="226ED63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8.531.616.819 </w:t>
            </w:r>
          </w:p>
        </w:tc>
      </w:tr>
      <w:tr w:rsidR="00826439" w:rsidRPr="00826439" w14:paraId="2C9F1727"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E770A04"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54</w:t>
            </w:r>
          </w:p>
        </w:tc>
        <w:tc>
          <w:tcPr>
            <w:tcW w:w="1160" w:type="dxa"/>
            <w:tcBorders>
              <w:top w:val="nil"/>
              <w:left w:val="nil"/>
              <w:bottom w:val="single" w:sz="4" w:space="0" w:color="auto"/>
              <w:right w:val="single" w:sz="4" w:space="0" w:color="auto"/>
            </w:tcBorders>
            <w:shd w:val="clear" w:color="auto" w:fill="auto"/>
            <w:noWrap/>
            <w:vAlign w:val="center"/>
            <w:hideMark/>
          </w:tcPr>
          <w:p w14:paraId="77C8084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CAJA SOCIAL</w:t>
            </w:r>
          </w:p>
        </w:tc>
        <w:tc>
          <w:tcPr>
            <w:tcW w:w="1480" w:type="dxa"/>
            <w:tcBorders>
              <w:top w:val="nil"/>
              <w:left w:val="nil"/>
              <w:bottom w:val="single" w:sz="4" w:space="0" w:color="auto"/>
              <w:right w:val="single" w:sz="4" w:space="0" w:color="auto"/>
            </w:tcBorders>
            <w:shd w:val="clear" w:color="auto" w:fill="auto"/>
            <w:noWrap/>
            <w:vAlign w:val="center"/>
            <w:hideMark/>
          </w:tcPr>
          <w:p w14:paraId="4FF1866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5.125.915.000 </w:t>
            </w:r>
          </w:p>
        </w:tc>
        <w:tc>
          <w:tcPr>
            <w:tcW w:w="640" w:type="dxa"/>
            <w:tcBorders>
              <w:top w:val="nil"/>
              <w:left w:val="nil"/>
              <w:bottom w:val="single" w:sz="4" w:space="0" w:color="auto"/>
              <w:right w:val="single" w:sz="4" w:space="0" w:color="auto"/>
            </w:tcBorders>
            <w:shd w:val="clear" w:color="auto" w:fill="auto"/>
            <w:noWrap/>
            <w:vAlign w:val="center"/>
            <w:hideMark/>
          </w:tcPr>
          <w:p w14:paraId="7FBEAAC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150707</w:t>
            </w:r>
          </w:p>
        </w:tc>
        <w:tc>
          <w:tcPr>
            <w:tcW w:w="840" w:type="dxa"/>
            <w:tcBorders>
              <w:top w:val="nil"/>
              <w:left w:val="nil"/>
              <w:bottom w:val="single" w:sz="4" w:space="0" w:color="auto"/>
              <w:right w:val="single" w:sz="4" w:space="0" w:color="auto"/>
            </w:tcBorders>
            <w:shd w:val="clear" w:color="auto" w:fill="auto"/>
            <w:noWrap/>
            <w:vAlign w:val="center"/>
            <w:hideMark/>
          </w:tcPr>
          <w:p w14:paraId="50AABAC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211</w:t>
            </w:r>
          </w:p>
        </w:tc>
        <w:tc>
          <w:tcPr>
            <w:tcW w:w="760" w:type="dxa"/>
            <w:tcBorders>
              <w:top w:val="nil"/>
              <w:left w:val="nil"/>
              <w:bottom w:val="single" w:sz="4" w:space="0" w:color="auto"/>
              <w:right w:val="single" w:sz="4" w:space="0" w:color="auto"/>
            </w:tcBorders>
            <w:shd w:val="clear" w:color="auto" w:fill="auto"/>
            <w:noWrap/>
            <w:vAlign w:val="center"/>
            <w:hideMark/>
          </w:tcPr>
          <w:p w14:paraId="40CC7BE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7FB9057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7813457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2019/09/13</w:t>
            </w:r>
          </w:p>
        </w:tc>
        <w:tc>
          <w:tcPr>
            <w:tcW w:w="960" w:type="dxa"/>
            <w:tcBorders>
              <w:top w:val="nil"/>
              <w:left w:val="nil"/>
              <w:bottom w:val="single" w:sz="4" w:space="0" w:color="auto"/>
              <w:right w:val="single" w:sz="4" w:space="0" w:color="auto"/>
            </w:tcBorders>
            <w:shd w:val="clear" w:color="auto" w:fill="auto"/>
            <w:noWrap/>
            <w:vAlign w:val="center"/>
            <w:hideMark/>
          </w:tcPr>
          <w:p w14:paraId="165D29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2020/04/14</w:t>
            </w:r>
          </w:p>
        </w:tc>
        <w:tc>
          <w:tcPr>
            <w:tcW w:w="1540" w:type="dxa"/>
            <w:tcBorders>
              <w:top w:val="nil"/>
              <w:left w:val="nil"/>
              <w:bottom w:val="single" w:sz="4" w:space="0" w:color="auto"/>
              <w:right w:val="single" w:sz="4" w:space="0" w:color="auto"/>
            </w:tcBorders>
            <w:shd w:val="clear" w:color="auto" w:fill="auto"/>
            <w:noWrap/>
            <w:vAlign w:val="center"/>
            <w:hideMark/>
          </w:tcPr>
          <w:p w14:paraId="0F0ACE7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5.200.382.687 </w:t>
            </w:r>
          </w:p>
        </w:tc>
      </w:tr>
      <w:tr w:rsidR="00826439" w:rsidRPr="00826439" w14:paraId="00CFEB6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E47F2E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55</w:t>
            </w:r>
          </w:p>
        </w:tc>
        <w:tc>
          <w:tcPr>
            <w:tcW w:w="1160" w:type="dxa"/>
            <w:tcBorders>
              <w:top w:val="nil"/>
              <w:left w:val="nil"/>
              <w:bottom w:val="single" w:sz="4" w:space="0" w:color="auto"/>
              <w:right w:val="single" w:sz="4" w:space="0" w:color="auto"/>
            </w:tcBorders>
            <w:shd w:val="clear" w:color="auto" w:fill="auto"/>
            <w:noWrap/>
            <w:vAlign w:val="center"/>
            <w:hideMark/>
          </w:tcPr>
          <w:p w14:paraId="593F846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74C74BA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7.355.224.110 </w:t>
            </w:r>
          </w:p>
        </w:tc>
        <w:tc>
          <w:tcPr>
            <w:tcW w:w="640" w:type="dxa"/>
            <w:tcBorders>
              <w:top w:val="nil"/>
              <w:left w:val="nil"/>
              <w:bottom w:val="single" w:sz="4" w:space="0" w:color="auto"/>
              <w:right w:val="single" w:sz="4" w:space="0" w:color="auto"/>
            </w:tcBorders>
            <w:shd w:val="clear" w:color="auto" w:fill="auto"/>
            <w:noWrap/>
            <w:vAlign w:val="center"/>
            <w:hideMark/>
          </w:tcPr>
          <w:p w14:paraId="1CADC5D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149289</w:t>
            </w:r>
          </w:p>
        </w:tc>
        <w:tc>
          <w:tcPr>
            <w:tcW w:w="840" w:type="dxa"/>
            <w:tcBorders>
              <w:top w:val="nil"/>
              <w:left w:val="nil"/>
              <w:bottom w:val="single" w:sz="4" w:space="0" w:color="auto"/>
              <w:right w:val="single" w:sz="4" w:space="0" w:color="auto"/>
            </w:tcBorders>
            <w:shd w:val="clear" w:color="auto" w:fill="auto"/>
            <w:noWrap/>
            <w:vAlign w:val="center"/>
            <w:hideMark/>
          </w:tcPr>
          <w:p w14:paraId="518ACAD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213</w:t>
            </w:r>
          </w:p>
        </w:tc>
        <w:tc>
          <w:tcPr>
            <w:tcW w:w="760" w:type="dxa"/>
            <w:tcBorders>
              <w:top w:val="nil"/>
              <w:left w:val="nil"/>
              <w:bottom w:val="single" w:sz="4" w:space="0" w:color="auto"/>
              <w:right w:val="single" w:sz="4" w:space="0" w:color="auto"/>
            </w:tcBorders>
            <w:shd w:val="clear" w:color="auto" w:fill="auto"/>
            <w:noWrap/>
            <w:vAlign w:val="center"/>
            <w:hideMark/>
          </w:tcPr>
          <w:p w14:paraId="5494E49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6F113A3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02F2F18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2019/09/11</w:t>
            </w:r>
          </w:p>
        </w:tc>
        <w:tc>
          <w:tcPr>
            <w:tcW w:w="960" w:type="dxa"/>
            <w:tcBorders>
              <w:top w:val="nil"/>
              <w:left w:val="nil"/>
              <w:bottom w:val="single" w:sz="4" w:space="0" w:color="auto"/>
              <w:right w:val="single" w:sz="4" w:space="0" w:color="auto"/>
            </w:tcBorders>
            <w:shd w:val="clear" w:color="auto" w:fill="auto"/>
            <w:noWrap/>
            <w:vAlign w:val="center"/>
            <w:hideMark/>
          </w:tcPr>
          <w:p w14:paraId="3D29701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2020/04/14</w:t>
            </w:r>
          </w:p>
        </w:tc>
        <w:tc>
          <w:tcPr>
            <w:tcW w:w="1540" w:type="dxa"/>
            <w:tcBorders>
              <w:top w:val="nil"/>
              <w:left w:val="nil"/>
              <w:bottom w:val="single" w:sz="4" w:space="0" w:color="auto"/>
              <w:right w:val="single" w:sz="4" w:space="0" w:color="auto"/>
            </w:tcBorders>
            <w:shd w:val="clear" w:color="auto" w:fill="auto"/>
            <w:noWrap/>
            <w:vAlign w:val="center"/>
            <w:hideMark/>
          </w:tcPr>
          <w:p w14:paraId="79BDC8D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7.463.492.995 </w:t>
            </w:r>
          </w:p>
        </w:tc>
      </w:tr>
      <w:tr w:rsidR="00826439" w:rsidRPr="00826439" w14:paraId="07712DF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3879B5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56</w:t>
            </w:r>
          </w:p>
        </w:tc>
        <w:tc>
          <w:tcPr>
            <w:tcW w:w="1160" w:type="dxa"/>
            <w:tcBorders>
              <w:top w:val="nil"/>
              <w:left w:val="nil"/>
              <w:bottom w:val="single" w:sz="4" w:space="0" w:color="auto"/>
              <w:right w:val="single" w:sz="4" w:space="0" w:color="auto"/>
            </w:tcBorders>
            <w:shd w:val="clear" w:color="auto" w:fill="auto"/>
            <w:noWrap/>
            <w:vAlign w:val="center"/>
            <w:hideMark/>
          </w:tcPr>
          <w:p w14:paraId="445E9A1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7C4B437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11.445.905.000 </w:t>
            </w:r>
          </w:p>
        </w:tc>
        <w:tc>
          <w:tcPr>
            <w:tcW w:w="640" w:type="dxa"/>
            <w:tcBorders>
              <w:top w:val="nil"/>
              <w:left w:val="nil"/>
              <w:bottom w:val="single" w:sz="4" w:space="0" w:color="auto"/>
              <w:right w:val="single" w:sz="4" w:space="0" w:color="auto"/>
            </w:tcBorders>
            <w:shd w:val="clear" w:color="auto" w:fill="auto"/>
            <w:noWrap/>
            <w:vAlign w:val="center"/>
            <w:hideMark/>
          </w:tcPr>
          <w:p w14:paraId="6E6832E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134521</w:t>
            </w:r>
          </w:p>
        </w:tc>
        <w:tc>
          <w:tcPr>
            <w:tcW w:w="840" w:type="dxa"/>
            <w:tcBorders>
              <w:top w:val="nil"/>
              <w:left w:val="nil"/>
              <w:bottom w:val="single" w:sz="4" w:space="0" w:color="auto"/>
              <w:right w:val="single" w:sz="4" w:space="0" w:color="auto"/>
            </w:tcBorders>
            <w:shd w:val="clear" w:color="auto" w:fill="auto"/>
            <w:noWrap/>
            <w:vAlign w:val="center"/>
            <w:hideMark/>
          </w:tcPr>
          <w:p w14:paraId="2E74A4F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215</w:t>
            </w:r>
          </w:p>
        </w:tc>
        <w:tc>
          <w:tcPr>
            <w:tcW w:w="760" w:type="dxa"/>
            <w:tcBorders>
              <w:top w:val="nil"/>
              <w:left w:val="nil"/>
              <w:bottom w:val="single" w:sz="4" w:space="0" w:color="auto"/>
              <w:right w:val="single" w:sz="4" w:space="0" w:color="auto"/>
            </w:tcBorders>
            <w:shd w:val="clear" w:color="auto" w:fill="auto"/>
            <w:noWrap/>
            <w:vAlign w:val="center"/>
            <w:hideMark/>
          </w:tcPr>
          <w:p w14:paraId="4BE8D59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3E560CF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063C522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2019/09/18</w:t>
            </w:r>
          </w:p>
        </w:tc>
        <w:tc>
          <w:tcPr>
            <w:tcW w:w="960" w:type="dxa"/>
            <w:tcBorders>
              <w:top w:val="nil"/>
              <w:left w:val="nil"/>
              <w:bottom w:val="single" w:sz="4" w:space="0" w:color="auto"/>
              <w:right w:val="single" w:sz="4" w:space="0" w:color="auto"/>
            </w:tcBorders>
            <w:shd w:val="clear" w:color="auto" w:fill="auto"/>
            <w:noWrap/>
            <w:vAlign w:val="center"/>
            <w:hideMark/>
          </w:tcPr>
          <w:p w14:paraId="53283D4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2020/04/20</w:t>
            </w:r>
          </w:p>
        </w:tc>
        <w:tc>
          <w:tcPr>
            <w:tcW w:w="1540" w:type="dxa"/>
            <w:tcBorders>
              <w:top w:val="nil"/>
              <w:left w:val="nil"/>
              <w:bottom w:val="single" w:sz="4" w:space="0" w:color="auto"/>
              <w:right w:val="single" w:sz="4" w:space="0" w:color="auto"/>
            </w:tcBorders>
            <w:shd w:val="clear" w:color="auto" w:fill="auto"/>
            <w:noWrap/>
            <w:vAlign w:val="center"/>
            <w:hideMark/>
          </w:tcPr>
          <w:p w14:paraId="49C436A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11.604.554.356 </w:t>
            </w:r>
          </w:p>
        </w:tc>
      </w:tr>
      <w:tr w:rsidR="00826439" w:rsidRPr="00826439" w14:paraId="33586A1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BFCFDE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57</w:t>
            </w:r>
          </w:p>
        </w:tc>
        <w:tc>
          <w:tcPr>
            <w:tcW w:w="1160" w:type="dxa"/>
            <w:tcBorders>
              <w:top w:val="nil"/>
              <w:left w:val="nil"/>
              <w:bottom w:val="single" w:sz="4" w:space="0" w:color="auto"/>
              <w:right w:val="single" w:sz="4" w:space="0" w:color="auto"/>
            </w:tcBorders>
            <w:shd w:val="clear" w:color="auto" w:fill="auto"/>
            <w:noWrap/>
            <w:vAlign w:val="center"/>
            <w:hideMark/>
          </w:tcPr>
          <w:p w14:paraId="53A6327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 VILLAS</w:t>
            </w:r>
          </w:p>
        </w:tc>
        <w:tc>
          <w:tcPr>
            <w:tcW w:w="1480" w:type="dxa"/>
            <w:tcBorders>
              <w:top w:val="nil"/>
              <w:left w:val="nil"/>
              <w:bottom w:val="single" w:sz="4" w:space="0" w:color="auto"/>
              <w:right w:val="single" w:sz="4" w:space="0" w:color="auto"/>
            </w:tcBorders>
            <w:shd w:val="clear" w:color="auto" w:fill="auto"/>
            <w:noWrap/>
            <w:vAlign w:val="center"/>
            <w:hideMark/>
          </w:tcPr>
          <w:p w14:paraId="29EB7A2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1.025.540.325 </w:t>
            </w:r>
          </w:p>
        </w:tc>
        <w:tc>
          <w:tcPr>
            <w:tcW w:w="640" w:type="dxa"/>
            <w:tcBorders>
              <w:top w:val="nil"/>
              <w:left w:val="nil"/>
              <w:bottom w:val="single" w:sz="4" w:space="0" w:color="auto"/>
              <w:right w:val="single" w:sz="4" w:space="0" w:color="auto"/>
            </w:tcBorders>
            <w:shd w:val="clear" w:color="auto" w:fill="auto"/>
            <w:noWrap/>
            <w:vAlign w:val="center"/>
            <w:hideMark/>
          </w:tcPr>
          <w:p w14:paraId="49BA832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138153</w:t>
            </w:r>
          </w:p>
        </w:tc>
        <w:tc>
          <w:tcPr>
            <w:tcW w:w="840" w:type="dxa"/>
            <w:tcBorders>
              <w:top w:val="nil"/>
              <w:left w:val="nil"/>
              <w:bottom w:val="single" w:sz="4" w:space="0" w:color="auto"/>
              <w:right w:val="single" w:sz="4" w:space="0" w:color="auto"/>
            </w:tcBorders>
            <w:shd w:val="clear" w:color="auto" w:fill="auto"/>
            <w:noWrap/>
            <w:vAlign w:val="center"/>
            <w:hideMark/>
          </w:tcPr>
          <w:p w14:paraId="134696E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150</w:t>
            </w:r>
          </w:p>
        </w:tc>
        <w:tc>
          <w:tcPr>
            <w:tcW w:w="760" w:type="dxa"/>
            <w:tcBorders>
              <w:top w:val="nil"/>
              <w:left w:val="nil"/>
              <w:bottom w:val="single" w:sz="4" w:space="0" w:color="auto"/>
              <w:right w:val="single" w:sz="4" w:space="0" w:color="auto"/>
            </w:tcBorders>
            <w:shd w:val="clear" w:color="auto" w:fill="auto"/>
            <w:noWrap/>
            <w:vAlign w:val="center"/>
            <w:hideMark/>
          </w:tcPr>
          <w:p w14:paraId="16191CE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5C7687B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4,73%</w:t>
            </w:r>
          </w:p>
        </w:tc>
        <w:tc>
          <w:tcPr>
            <w:tcW w:w="760" w:type="dxa"/>
            <w:tcBorders>
              <w:top w:val="nil"/>
              <w:left w:val="nil"/>
              <w:bottom w:val="single" w:sz="4" w:space="0" w:color="auto"/>
              <w:right w:val="single" w:sz="4" w:space="0" w:color="auto"/>
            </w:tcBorders>
            <w:shd w:val="clear" w:color="auto" w:fill="auto"/>
            <w:noWrap/>
            <w:vAlign w:val="center"/>
            <w:hideMark/>
          </w:tcPr>
          <w:p w14:paraId="4A420B8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2019/11/22</w:t>
            </w:r>
          </w:p>
        </w:tc>
        <w:tc>
          <w:tcPr>
            <w:tcW w:w="960" w:type="dxa"/>
            <w:tcBorders>
              <w:top w:val="nil"/>
              <w:left w:val="nil"/>
              <w:bottom w:val="single" w:sz="4" w:space="0" w:color="auto"/>
              <w:right w:val="single" w:sz="4" w:space="0" w:color="auto"/>
            </w:tcBorders>
            <w:shd w:val="clear" w:color="auto" w:fill="auto"/>
            <w:noWrap/>
            <w:vAlign w:val="center"/>
            <w:hideMark/>
          </w:tcPr>
          <w:p w14:paraId="62C0A71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2020/04/22</w:t>
            </w:r>
          </w:p>
        </w:tc>
        <w:tc>
          <w:tcPr>
            <w:tcW w:w="1540" w:type="dxa"/>
            <w:tcBorders>
              <w:top w:val="nil"/>
              <w:left w:val="nil"/>
              <w:bottom w:val="single" w:sz="4" w:space="0" w:color="auto"/>
              <w:right w:val="single" w:sz="4" w:space="0" w:color="auto"/>
            </w:tcBorders>
            <w:shd w:val="clear" w:color="auto" w:fill="auto"/>
            <w:noWrap/>
            <w:vAlign w:val="center"/>
            <w:hideMark/>
          </w:tcPr>
          <w:p w14:paraId="13D6D28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1.030.727.733 </w:t>
            </w:r>
          </w:p>
        </w:tc>
      </w:tr>
      <w:tr w:rsidR="00826439" w:rsidRPr="00826439" w14:paraId="297A9A9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1EA4898"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58</w:t>
            </w:r>
          </w:p>
        </w:tc>
        <w:tc>
          <w:tcPr>
            <w:tcW w:w="1160" w:type="dxa"/>
            <w:tcBorders>
              <w:top w:val="nil"/>
              <w:left w:val="nil"/>
              <w:bottom w:val="single" w:sz="4" w:space="0" w:color="auto"/>
              <w:right w:val="single" w:sz="4" w:space="0" w:color="auto"/>
            </w:tcBorders>
            <w:shd w:val="clear" w:color="auto" w:fill="auto"/>
            <w:noWrap/>
            <w:vAlign w:val="center"/>
            <w:hideMark/>
          </w:tcPr>
          <w:p w14:paraId="73EFEC6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564DD91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1.382.130.858 </w:t>
            </w:r>
          </w:p>
        </w:tc>
        <w:tc>
          <w:tcPr>
            <w:tcW w:w="640" w:type="dxa"/>
            <w:tcBorders>
              <w:top w:val="nil"/>
              <w:left w:val="nil"/>
              <w:bottom w:val="single" w:sz="4" w:space="0" w:color="auto"/>
              <w:right w:val="single" w:sz="4" w:space="0" w:color="auto"/>
            </w:tcBorders>
            <w:shd w:val="clear" w:color="auto" w:fill="auto"/>
            <w:noWrap/>
            <w:vAlign w:val="center"/>
            <w:hideMark/>
          </w:tcPr>
          <w:p w14:paraId="038DB93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171740</w:t>
            </w:r>
          </w:p>
        </w:tc>
        <w:tc>
          <w:tcPr>
            <w:tcW w:w="840" w:type="dxa"/>
            <w:tcBorders>
              <w:top w:val="nil"/>
              <w:left w:val="nil"/>
              <w:bottom w:val="single" w:sz="4" w:space="0" w:color="auto"/>
              <w:right w:val="single" w:sz="4" w:space="0" w:color="auto"/>
            </w:tcBorders>
            <w:shd w:val="clear" w:color="auto" w:fill="auto"/>
            <w:noWrap/>
            <w:vAlign w:val="center"/>
            <w:hideMark/>
          </w:tcPr>
          <w:p w14:paraId="6F06805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184</w:t>
            </w:r>
          </w:p>
        </w:tc>
        <w:tc>
          <w:tcPr>
            <w:tcW w:w="760" w:type="dxa"/>
            <w:tcBorders>
              <w:top w:val="nil"/>
              <w:left w:val="nil"/>
              <w:bottom w:val="single" w:sz="4" w:space="0" w:color="auto"/>
              <w:right w:val="single" w:sz="4" w:space="0" w:color="auto"/>
            </w:tcBorders>
            <w:shd w:val="clear" w:color="auto" w:fill="auto"/>
            <w:noWrap/>
            <w:vAlign w:val="center"/>
            <w:hideMark/>
          </w:tcPr>
          <w:p w14:paraId="677666E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4456183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35EBB23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2019/10/21</w:t>
            </w:r>
          </w:p>
        </w:tc>
        <w:tc>
          <w:tcPr>
            <w:tcW w:w="960" w:type="dxa"/>
            <w:tcBorders>
              <w:top w:val="nil"/>
              <w:left w:val="nil"/>
              <w:bottom w:val="single" w:sz="4" w:space="0" w:color="auto"/>
              <w:right w:val="single" w:sz="4" w:space="0" w:color="auto"/>
            </w:tcBorders>
            <w:shd w:val="clear" w:color="auto" w:fill="auto"/>
            <w:noWrap/>
            <w:vAlign w:val="center"/>
            <w:hideMark/>
          </w:tcPr>
          <w:p w14:paraId="2E21100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2020/04/23</w:t>
            </w:r>
          </w:p>
        </w:tc>
        <w:tc>
          <w:tcPr>
            <w:tcW w:w="1540" w:type="dxa"/>
            <w:tcBorders>
              <w:top w:val="nil"/>
              <w:left w:val="nil"/>
              <w:bottom w:val="single" w:sz="4" w:space="0" w:color="auto"/>
              <w:right w:val="single" w:sz="4" w:space="0" w:color="auto"/>
            </w:tcBorders>
            <w:shd w:val="clear" w:color="auto" w:fill="auto"/>
            <w:noWrap/>
            <w:vAlign w:val="center"/>
            <w:hideMark/>
          </w:tcPr>
          <w:p w14:paraId="45715FF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1.394.922.591 </w:t>
            </w:r>
          </w:p>
        </w:tc>
      </w:tr>
      <w:tr w:rsidR="00826439" w:rsidRPr="00826439" w14:paraId="5667664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F8A286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59</w:t>
            </w:r>
          </w:p>
        </w:tc>
        <w:tc>
          <w:tcPr>
            <w:tcW w:w="1160" w:type="dxa"/>
            <w:tcBorders>
              <w:top w:val="nil"/>
              <w:left w:val="nil"/>
              <w:bottom w:val="single" w:sz="4" w:space="0" w:color="auto"/>
              <w:right w:val="single" w:sz="4" w:space="0" w:color="auto"/>
            </w:tcBorders>
            <w:shd w:val="clear" w:color="auto" w:fill="auto"/>
            <w:noWrap/>
            <w:vAlign w:val="center"/>
            <w:hideMark/>
          </w:tcPr>
          <w:p w14:paraId="523C566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FCA76B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1.330.579.822 </w:t>
            </w:r>
          </w:p>
        </w:tc>
        <w:tc>
          <w:tcPr>
            <w:tcW w:w="640" w:type="dxa"/>
            <w:tcBorders>
              <w:top w:val="nil"/>
              <w:left w:val="nil"/>
              <w:bottom w:val="single" w:sz="4" w:space="0" w:color="auto"/>
              <w:right w:val="single" w:sz="4" w:space="0" w:color="auto"/>
            </w:tcBorders>
            <w:shd w:val="clear" w:color="auto" w:fill="auto"/>
            <w:noWrap/>
            <w:vAlign w:val="center"/>
            <w:hideMark/>
          </w:tcPr>
          <w:p w14:paraId="453A370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171735</w:t>
            </w:r>
          </w:p>
        </w:tc>
        <w:tc>
          <w:tcPr>
            <w:tcW w:w="840" w:type="dxa"/>
            <w:tcBorders>
              <w:top w:val="nil"/>
              <w:left w:val="nil"/>
              <w:bottom w:val="single" w:sz="4" w:space="0" w:color="auto"/>
              <w:right w:val="single" w:sz="4" w:space="0" w:color="auto"/>
            </w:tcBorders>
            <w:shd w:val="clear" w:color="auto" w:fill="auto"/>
            <w:noWrap/>
            <w:vAlign w:val="center"/>
            <w:hideMark/>
          </w:tcPr>
          <w:p w14:paraId="655D156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182</w:t>
            </w:r>
          </w:p>
        </w:tc>
        <w:tc>
          <w:tcPr>
            <w:tcW w:w="760" w:type="dxa"/>
            <w:tcBorders>
              <w:top w:val="nil"/>
              <w:left w:val="nil"/>
              <w:bottom w:val="single" w:sz="4" w:space="0" w:color="auto"/>
              <w:right w:val="single" w:sz="4" w:space="0" w:color="auto"/>
            </w:tcBorders>
            <w:shd w:val="clear" w:color="auto" w:fill="auto"/>
            <w:noWrap/>
            <w:vAlign w:val="center"/>
            <w:hideMark/>
          </w:tcPr>
          <w:p w14:paraId="3F0BDE4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455BF26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73706A9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2019/10/21</w:t>
            </w:r>
          </w:p>
        </w:tc>
        <w:tc>
          <w:tcPr>
            <w:tcW w:w="960" w:type="dxa"/>
            <w:tcBorders>
              <w:top w:val="nil"/>
              <w:left w:val="nil"/>
              <w:bottom w:val="single" w:sz="4" w:space="0" w:color="auto"/>
              <w:right w:val="single" w:sz="4" w:space="0" w:color="auto"/>
            </w:tcBorders>
            <w:shd w:val="clear" w:color="auto" w:fill="auto"/>
            <w:noWrap/>
            <w:vAlign w:val="center"/>
            <w:hideMark/>
          </w:tcPr>
          <w:p w14:paraId="3AB5C34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2020/04/23</w:t>
            </w:r>
          </w:p>
        </w:tc>
        <w:tc>
          <w:tcPr>
            <w:tcW w:w="1540" w:type="dxa"/>
            <w:tcBorders>
              <w:top w:val="nil"/>
              <w:left w:val="nil"/>
              <w:bottom w:val="single" w:sz="4" w:space="0" w:color="auto"/>
              <w:right w:val="single" w:sz="4" w:space="0" w:color="auto"/>
            </w:tcBorders>
            <w:shd w:val="clear" w:color="auto" w:fill="auto"/>
            <w:noWrap/>
            <w:vAlign w:val="center"/>
            <w:hideMark/>
          </w:tcPr>
          <w:p w14:paraId="6A122D7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1.342.805.196 </w:t>
            </w:r>
          </w:p>
        </w:tc>
      </w:tr>
      <w:tr w:rsidR="00826439" w:rsidRPr="00826439" w14:paraId="75E9BBC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7CAA9A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60</w:t>
            </w:r>
          </w:p>
        </w:tc>
        <w:tc>
          <w:tcPr>
            <w:tcW w:w="1160" w:type="dxa"/>
            <w:tcBorders>
              <w:top w:val="nil"/>
              <w:left w:val="nil"/>
              <w:bottom w:val="single" w:sz="4" w:space="0" w:color="auto"/>
              <w:right w:val="single" w:sz="4" w:space="0" w:color="auto"/>
            </w:tcBorders>
            <w:shd w:val="clear" w:color="auto" w:fill="auto"/>
            <w:noWrap/>
            <w:vAlign w:val="center"/>
            <w:hideMark/>
          </w:tcPr>
          <w:p w14:paraId="14DB1D9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350A42D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4.940.386.391 </w:t>
            </w:r>
          </w:p>
        </w:tc>
        <w:tc>
          <w:tcPr>
            <w:tcW w:w="640" w:type="dxa"/>
            <w:tcBorders>
              <w:top w:val="nil"/>
              <w:left w:val="nil"/>
              <w:bottom w:val="single" w:sz="4" w:space="0" w:color="auto"/>
              <w:right w:val="single" w:sz="4" w:space="0" w:color="auto"/>
            </w:tcBorders>
            <w:shd w:val="clear" w:color="auto" w:fill="auto"/>
            <w:noWrap/>
            <w:vAlign w:val="center"/>
            <w:hideMark/>
          </w:tcPr>
          <w:p w14:paraId="65B2A23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155588</w:t>
            </w:r>
          </w:p>
        </w:tc>
        <w:tc>
          <w:tcPr>
            <w:tcW w:w="840" w:type="dxa"/>
            <w:tcBorders>
              <w:top w:val="nil"/>
              <w:left w:val="nil"/>
              <w:bottom w:val="single" w:sz="4" w:space="0" w:color="auto"/>
              <w:right w:val="single" w:sz="4" w:space="0" w:color="auto"/>
            </w:tcBorders>
            <w:shd w:val="clear" w:color="auto" w:fill="auto"/>
            <w:noWrap/>
            <w:vAlign w:val="center"/>
            <w:hideMark/>
          </w:tcPr>
          <w:p w14:paraId="11062B1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34AEF42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36D9793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500C5F9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2019/09/23</w:t>
            </w:r>
          </w:p>
        </w:tc>
        <w:tc>
          <w:tcPr>
            <w:tcW w:w="960" w:type="dxa"/>
            <w:tcBorders>
              <w:top w:val="nil"/>
              <w:left w:val="nil"/>
              <w:bottom w:val="single" w:sz="4" w:space="0" w:color="auto"/>
              <w:right w:val="single" w:sz="4" w:space="0" w:color="auto"/>
            </w:tcBorders>
            <w:shd w:val="clear" w:color="auto" w:fill="auto"/>
            <w:noWrap/>
            <w:vAlign w:val="center"/>
            <w:hideMark/>
          </w:tcPr>
          <w:p w14:paraId="05BCF70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2020/04/23</w:t>
            </w:r>
          </w:p>
        </w:tc>
        <w:tc>
          <w:tcPr>
            <w:tcW w:w="1540" w:type="dxa"/>
            <w:tcBorders>
              <w:top w:val="nil"/>
              <w:left w:val="nil"/>
              <w:bottom w:val="single" w:sz="4" w:space="0" w:color="auto"/>
              <w:right w:val="single" w:sz="4" w:space="0" w:color="auto"/>
            </w:tcBorders>
            <w:shd w:val="clear" w:color="auto" w:fill="auto"/>
            <w:noWrap/>
            <w:vAlign w:val="center"/>
            <w:hideMark/>
          </w:tcPr>
          <w:p w14:paraId="3D5EB8F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5.004.535.534 </w:t>
            </w:r>
          </w:p>
        </w:tc>
      </w:tr>
      <w:tr w:rsidR="00826439" w:rsidRPr="00826439" w14:paraId="4F1A170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2D4E2E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61</w:t>
            </w:r>
          </w:p>
        </w:tc>
        <w:tc>
          <w:tcPr>
            <w:tcW w:w="1160" w:type="dxa"/>
            <w:tcBorders>
              <w:top w:val="nil"/>
              <w:left w:val="nil"/>
              <w:bottom w:val="single" w:sz="4" w:space="0" w:color="auto"/>
              <w:right w:val="single" w:sz="4" w:space="0" w:color="auto"/>
            </w:tcBorders>
            <w:shd w:val="clear" w:color="auto" w:fill="auto"/>
            <w:noWrap/>
            <w:vAlign w:val="center"/>
            <w:hideMark/>
          </w:tcPr>
          <w:p w14:paraId="5C10D70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0D16536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1.727.608.200 </w:t>
            </w:r>
          </w:p>
        </w:tc>
        <w:tc>
          <w:tcPr>
            <w:tcW w:w="640" w:type="dxa"/>
            <w:tcBorders>
              <w:top w:val="nil"/>
              <w:left w:val="nil"/>
              <w:bottom w:val="single" w:sz="4" w:space="0" w:color="auto"/>
              <w:right w:val="single" w:sz="4" w:space="0" w:color="auto"/>
            </w:tcBorders>
            <w:shd w:val="clear" w:color="auto" w:fill="auto"/>
            <w:noWrap/>
            <w:vAlign w:val="center"/>
            <w:hideMark/>
          </w:tcPr>
          <w:p w14:paraId="2C8B70A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155590</w:t>
            </w:r>
          </w:p>
        </w:tc>
        <w:tc>
          <w:tcPr>
            <w:tcW w:w="840" w:type="dxa"/>
            <w:tcBorders>
              <w:top w:val="nil"/>
              <w:left w:val="nil"/>
              <w:bottom w:val="single" w:sz="4" w:space="0" w:color="auto"/>
              <w:right w:val="single" w:sz="4" w:space="0" w:color="auto"/>
            </w:tcBorders>
            <w:shd w:val="clear" w:color="auto" w:fill="auto"/>
            <w:noWrap/>
            <w:vAlign w:val="center"/>
            <w:hideMark/>
          </w:tcPr>
          <w:p w14:paraId="7C6DEB1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1FE0E08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111312D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23C6432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2019/09/23</w:t>
            </w:r>
          </w:p>
        </w:tc>
        <w:tc>
          <w:tcPr>
            <w:tcW w:w="960" w:type="dxa"/>
            <w:tcBorders>
              <w:top w:val="nil"/>
              <w:left w:val="nil"/>
              <w:bottom w:val="single" w:sz="4" w:space="0" w:color="auto"/>
              <w:right w:val="single" w:sz="4" w:space="0" w:color="auto"/>
            </w:tcBorders>
            <w:shd w:val="clear" w:color="auto" w:fill="auto"/>
            <w:noWrap/>
            <w:vAlign w:val="center"/>
            <w:hideMark/>
          </w:tcPr>
          <w:p w14:paraId="080B1DD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2020/04/23</w:t>
            </w:r>
          </w:p>
        </w:tc>
        <w:tc>
          <w:tcPr>
            <w:tcW w:w="1540" w:type="dxa"/>
            <w:tcBorders>
              <w:top w:val="nil"/>
              <w:left w:val="nil"/>
              <w:bottom w:val="single" w:sz="4" w:space="0" w:color="auto"/>
              <w:right w:val="single" w:sz="4" w:space="0" w:color="auto"/>
            </w:tcBorders>
            <w:shd w:val="clear" w:color="auto" w:fill="auto"/>
            <w:noWrap/>
            <w:vAlign w:val="center"/>
            <w:hideMark/>
          </w:tcPr>
          <w:p w14:paraId="2D847F7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1.750.268.242 </w:t>
            </w:r>
          </w:p>
        </w:tc>
      </w:tr>
      <w:tr w:rsidR="00826439" w:rsidRPr="00826439" w14:paraId="0B124DC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6F3110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62</w:t>
            </w:r>
          </w:p>
        </w:tc>
        <w:tc>
          <w:tcPr>
            <w:tcW w:w="1160" w:type="dxa"/>
            <w:tcBorders>
              <w:top w:val="nil"/>
              <w:left w:val="nil"/>
              <w:bottom w:val="single" w:sz="4" w:space="0" w:color="auto"/>
              <w:right w:val="single" w:sz="4" w:space="0" w:color="auto"/>
            </w:tcBorders>
            <w:shd w:val="clear" w:color="auto" w:fill="auto"/>
            <w:noWrap/>
            <w:vAlign w:val="center"/>
            <w:hideMark/>
          </w:tcPr>
          <w:p w14:paraId="25E057E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2A996BD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10.949.528.711 </w:t>
            </w:r>
          </w:p>
        </w:tc>
        <w:tc>
          <w:tcPr>
            <w:tcW w:w="640" w:type="dxa"/>
            <w:tcBorders>
              <w:top w:val="nil"/>
              <w:left w:val="nil"/>
              <w:bottom w:val="single" w:sz="4" w:space="0" w:color="auto"/>
              <w:right w:val="single" w:sz="4" w:space="0" w:color="auto"/>
            </w:tcBorders>
            <w:shd w:val="clear" w:color="auto" w:fill="auto"/>
            <w:noWrap/>
            <w:vAlign w:val="center"/>
            <w:hideMark/>
          </w:tcPr>
          <w:p w14:paraId="5ACB346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157443</w:t>
            </w:r>
          </w:p>
        </w:tc>
        <w:tc>
          <w:tcPr>
            <w:tcW w:w="840" w:type="dxa"/>
            <w:tcBorders>
              <w:top w:val="nil"/>
              <w:left w:val="nil"/>
              <w:bottom w:val="single" w:sz="4" w:space="0" w:color="auto"/>
              <w:right w:val="single" w:sz="4" w:space="0" w:color="auto"/>
            </w:tcBorders>
            <w:shd w:val="clear" w:color="auto" w:fill="auto"/>
            <w:noWrap/>
            <w:vAlign w:val="center"/>
            <w:hideMark/>
          </w:tcPr>
          <w:p w14:paraId="40A5513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212</w:t>
            </w:r>
          </w:p>
        </w:tc>
        <w:tc>
          <w:tcPr>
            <w:tcW w:w="760" w:type="dxa"/>
            <w:tcBorders>
              <w:top w:val="nil"/>
              <w:left w:val="nil"/>
              <w:bottom w:val="single" w:sz="4" w:space="0" w:color="auto"/>
              <w:right w:val="single" w:sz="4" w:space="0" w:color="auto"/>
            </w:tcBorders>
            <w:shd w:val="clear" w:color="auto" w:fill="auto"/>
            <w:noWrap/>
            <w:vAlign w:val="center"/>
            <w:hideMark/>
          </w:tcPr>
          <w:p w14:paraId="2128AA7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3020F6D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7BA98A5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2019/09/25</w:t>
            </w:r>
          </w:p>
        </w:tc>
        <w:tc>
          <w:tcPr>
            <w:tcW w:w="960" w:type="dxa"/>
            <w:tcBorders>
              <w:top w:val="nil"/>
              <w:left w:val="nil"/>
              <w:bottom w:val="single" w:sz="4" w:space="0" w:color="auto"/>
              <w:right w:val="single" w:sz="4" w:space="0" w:color="auto"/>
            </w:tcBorders>
            <w:shd w:val="clear" w:color="auto" w:fill="auto"/>
            <w:noWrap/>
            <w:vAlign w:val="center"/>
            <w:hideMark/>
          </w:tcPr>
          <w:p w14:paraId="322DF4D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2020/04/27</w:t>
            </w:r>
          </w:p>
        </w:tc>
        <w:tc>
          <w:tcPr>
            <w:tcW w:w="1540" w:type="dxa"/>
            <w:tcBorders>
              <w:top w:val="nil"/>
              <w:left w:val="nil"/>
              <w:bottom w:val="single" w:sz="4" w:space="0" w:color="auto"/>
              <w:right w:val="single" w:sz="4" w:space="0" w:color="auto"/>
            </w:tcBorders>
            <w:shd w:val="clear" w:color="auto" w:fill="auto"/>
            <w:noWrap/>
            <w:vAlign w:val="center"/>
            <w:hideMark/>
          </w:tcPr>
          <w:p w14:paraId="2816BB0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11.088.828.338 </w:t>
            </w:r>
          </w:p>
        </w:tc>
      </w:tr>
      <w:tr w:rsidR="00826439" w:rsidRPr="00826439" w14:paraId="73F44845"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83F327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63</w:t>
            </w:r>
          </w:p>
        </w:tc>
        <w:tc>
          <w:tcPr>
            <w:tcW w:w="1160" w:type="dxa"/>
            <w:tcBorders>
              <w:top w:val="nil"/>
              <w:left w:val="nil"/>
              <w:bottom w:val="single" w:sz="4" w:space="0" w:color="auto"/>
              <w:right w:val="single" w:sz="4" w:space="0" w:color="auto"/>
            </w:tcBorders>
            <w:shd w:val="clear" w:color="auto" w:fill="auto"/>
            <w:noWrap/>
            <w:vAlign w:val="center"/>
            <w:hideMark/>
          </w:tcPr>
          <w:p w14:paraId="0B7F271E" w14:textId="77777777" w:rsidR="00826439" w:rsidRPr="00826439" w:rsidRDefault="00826439" w:rsidP="00AB4D08">
            <w:pPr>
              <w:spacing w:after="0" w:line="240" w:lineRule="auto"/>
              <w:contextualSpacing/>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280C6C5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9.882.268.969 </w:t>
            </w:r>
          </w:p>
        </w:tc>
        <w:tc>
          <w:tcPr>
            <w:tcW w:w="640" w:type="dxa"/>
            <w:tcBorders>
              <w:top w:val="nil"/>
              <w:left w:val="nil"/>
              <w:bottom w:val="single" w:sz="4" w:space="0" w:color="auto"/>
              <w:right w:val="single" w:sz="4" w:space="0" w:color="auto"/>
            </w:tcBorders>
            <w:shd w:val="clear" w:color="auto" w:fill="auto"/>
            <w:noWrap/>
            <w:vAlign w:val="center"/>
            <w:hideMark/>
          </w:tcPr>
          <w:p w14:paraId="7FA5E3A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177053</w:t>
            </w:r>
          </w:p>
        </w:tc>
        <w:tc>
          <w:tcPr>
            <w:tcW w:w="840" w:type="dxa"/>
            <w:tcBorders>
              <w:top w:val="nil"/>
              <w:left w:val="nil"/>
              <w:bottom w:val="single" w:sz="4" w:space="0" w:color="auto"/>
              <w:right w:val="single" w:sz="4" w:space="0" w:color="auto"/>
            </w:tcBorders>
            <w:shd w:val="clear" w:color="auto" w:fill="auto"/>
            <w:noWrap/>
            <w:vAlign w:val="center"/>
            <w:hideMark/>
          </w:tcPr>
          <w:p w14:paraId="1A1C776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181</w:t>
            </w:r>
          </w:p>
        </w:tc>
        <w:tc>
          <w:tcPr>
            <w:tcW w:w="760" w:type="dxa"/>
            <w:tcBorders>
              <w:top w:val="nil"/>
              <w:left w:val="nil"/>
              <w:bottom w:val="single" w:sz="4" w:space="0" w:color="auto"/>
              <w:right w:val="single" w:sz="4" w:space="0" w:color="auto"/>
            </w:tcBorders>
            <w:shd w:val="clear" w:color="auto" w:fill="auto"/>
            <w:noWrap/>
            <w:vAlign w:val="center"/>
            <w:hideMark/>
          </w:tcPr>
          <w:p w14:paraId="511CB71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55A94BB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4,74%</w:t>
            </w:r>
          </w:p>
        </w:tc>
        <w:tc>
          <w:tcPr>
            <w:tcW w:w="760" w:type="dxa"/>
            <w:tcBorders>
              <w:top w:val="nil"/>
              <w:left w:val="nil"/>
              <w:bottom w:val="single" w:sz="4" w:space="0" w:color="auto"/>
              <w:right w:val="single" w:sz="4" w:space="0" w:color="auto"/>
            </w:tcBorders>
            <w:shd w:val="clear" w:color="auto" w:fill="auto"/>
            <w:noWrap/>
            <w:vAlign w:val="center"/>
            <w:hideMark/>
          </w:tcPr>
          <w:p w14:paraId="5ACB960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2019/10/29</w:t>
            </w:r>
          </w:p>
        </w:tc>
        <w:tc>
          <w:tcPr>
            <w:tcW w:w="960" w:type="dxa"/>
            <w:tcBorders>
              <w:top w:val="nil"/>
              <w:left w:val="nil"/>
              <w:bottom w:val="single" w:sz="4" w:space="0" w:color="auto"/>
              <w:right w:val="single" w:sz="4" w:space="0" w:color="auto"/>
            </w:tcBorders>
            <w:shd w:val="clear" w:color="auto" w:fill="auto"/>
            <w:noWrap/>
            <w:vAlign w:val="center"/>
            <w:hideMark/>
          </w:tcPr>
          <w:p w14:paraId="4F4895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2020/04/30</w:t>
            </w:r>
          </w:p>
        </w:tc>
        <w:tc>
          <w:tcPr>
            <w:tcW w:w="1540" w:type="dxa"/>
            <w:tcBorders>
              <w:top w:val="nil"/>
              <w:left w:val="nil"/>
              <w:bottom w:val="single" w:sz="4" w:space="0" w:color="auto"/>
              <w:right w:val="single" w:sz="4" w:space="0" w:color="auto"/>
            </w:tcBorders>
            <w:shd w:val="clear" w:color="auto" w:fill="auto"/>
            <w:noWrap/>
            <w:vAlign w:val="center"/>
            <w:hideMark/>
          </w:tcPr>
          <w:p w14:paraId="2EA4664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9.962.790.250 </w:t>
            </w:r>
          </w:p>
        </w:tc>
      </w:tr>
      <w:tr w:rsidR="00826439" w:rsidRPr="00826439" w14:paraId="7A1FB93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D856BC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64</w:t>
            </w:r>
          </w:p>
        </w:tc>
        <w:tc>
          <w:tcPr>
            <w:tcW w:w="1160" w:type="dxa"/>
            <w:tcBorders>
              <w:top w:val="nil"/>
              <w:left w:val="nil"/>
              <w:bottom w:val="single" w:sz="4" w:space="0" w:color="auto"/>
              <w:right w:val="single" w:sz="4" w:space="0" w:color="auto"/>
            </w:tcBorders>
            <w:shd w:val="clear" w:color="auto" w:fill="auto"/>
            <w:noWrap/>
            <w:vAlign w:val="center"/>
            <w:hideMark/>
          </w:tcPr>
          <w:p w14:paraId="0284ED7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4095BF6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5.255.393.932 </w:t>
            </w:r>
          </w:p>
        </w:tc>
        <w:tc>
          <w:tcPr>
            <w:tcW w:w="640" w:type="dxa"/>
            <w:tcBorders>
              <w:top w:val="nil"/>
              <w:left w:val="nil"/>
              <w:bottom w:val="single" w:sz="4" w:space="0" w:color="auto"/>
              <w:right w:val="single" w:sz="4" w:space="0" w:color="auto"/>
            </w:tcBorders>
            <w:shd w:val="clear" w:color="auto" w:fill="auto"/>
            <w:noWrap/>
            <w:vAlign w:val="center"/>
            <w:hideMark/>
          </w:tcPr>
          <w:p w14:paraId="4BDD74F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159266</w:t>
            </w:r>
          </w:p>
        </w:tc>
        <w:tc>
          <w:tcPr>
            <w:tcW w:w="840" w:type="dxa"/>
            <w:tcBorders>
              <w:top w:val="nil"/>
              <w:left w:val="nil"/>
              <w:bottom w:val="single" w:sz="4" w:space="0" w:color="auto"/>
              <w:right w:val="single" w:sz="4" w:space="0" w:color="auto"/>
            </w:tcBorders>
            <w:shd w:val="clear" w:color="auto" w:fill="auto"/>
            <w:noWrap/>
            <w:vAlign w:val="center"/>
            <w:hideMark/>
          </w:tcPr>
          <w:p w14:paraId="09DE0E3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26D3201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0C82748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03BD7A6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2019/09/30</w:t>
            </w:r>
          </w:p>
        </w:tc>
        <w:tc>
          <w:tcPr>
            <w:tcW w:w="960" w:type="dxa"/>
            <w:tcBorders>
              <w:top w:val="nil"/>
              <w:left w:val="nil"/>
              <w:bottom w:val="single" w:sz="4" w:space="0" w:color="auto"/>
              <w:right w:val="single" w:sz="4" w:space="0" w:color="auto"/>
            </w:tcBorders>
            <w:shd w:val="clear" w:color="auto" w:fill="auto"/>
            <w:noWrap/>
            <w:vAlign w:val="center"/>
            <w:hideMark/>
          </w:tcPr>
          <w:p w14:paraId="170C56B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2020/04/30</w:t>
            </w:r>
          </w:p>
        </w:tc>
        <w:tc>
          <w:tcPr>
            <w:tcW w:w="1540" w:type="dxa"/>
            <w:tcBorders>
              <w:top w:val="nil"/>
              <w:left w:val="nil"/>
              <w:bottom w:val="single" w:sz="4" w:space="0" w:color="auto"/>
              <w:right w:val="single" w:sz="4" w:space="0" w:color="auto"/>
            </w:tcBorders>
            <w:shd w:val="clear" w:color="auto" w:fill="auto"/>
            <w:noWrap/>
            <w:vAlign w:val="center"/>
            <w:hideMark/>
          </w:tcPr>
          <w:p w14:paraId="4F6894C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5.320.063.996 </w:t>
            </w:r>
          </w:p>
        </w:tc>
      </w:tr>
      <w:tr w:rsidR="00826439" w:rsidRPr="00826439" w14:paraId="4C2F0AB5"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E11F5B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65</w:t>
            </w:r>
          </w:p>
        </w:tc>
        <w:tc>
          <w:tcPr>
            <w:tcW w:w="1160" w:type="dxa"/>
            <w:tcBorders>
              <w:top w:val="nil"/>
              <w:left w:val="nil"/>
              <w:bottom w:val="single" w:sz="4" w:space="0" w:color="auto"/>
              <w:right w:val="single" w:sz="4" w:space="0" w:color="auto"/>
            </w:tcBorders>
            <w:shd w:val="clear" w:color="auto" w:fill="auto"/>
            <w:noWrap/>
            <w:vAlign w:val="center"/>
            <w:hideMark/>
          </w:tcPr>
          <w:p w14:paraId="020C028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21CA1D2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5.210.022.476 </w:t>
            </w:r>
          </w:p>
        </w:tc>
        <w:tc>
          <w:tcPr>
            <w:tcW w:w="640" w:type="dxa"/>
            <w:tcBorders>
              <w:top w:val="nil"/>
              <w:left w:val="nil"/>
              <w:bottom w:val="single" w:sz="4" w:space="0" w:color="auto"/>
              <w:right w:val="single" w:sz="4" w:space="0" w:color="auto"/>
            </w:tcBorders>
            <w:shd w:val="clear" w:color="auto" w:fill="auto"/>
            <w:noWrap/>
            <w:vAlign w:val="center"/>
            <w:hideMark/>
          </w:tcPr>
          <w:p w14:paraId="61CE5EA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144769</w:t>
            </w:r>
          </w:p>
        </w:tc>
        <w:tc>
          <w:tcPr>
            <w:tcW w:w="840" w:type="dxa"/>
            <w:tcBorders>
              <w:top w:val="nil"/>
              <w:left w:val="nil"/>
              <w:bottom w:val="single" w:sz="4" w:space="0" w:color="auto"/>
              <w:right w:val="single" w:sz="4" w:space="0" w:color="auto"/>
            </w:tcBorders>
            <w:shd w:val="clear" w:color="auto" w:fill="auto"/>
            <w:noWrap/>
            <w:vAlign w:val="center"/>
            <w:hideMark/>
          </w:tcPr>
          <w:p w14:paraId="45112D1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3EFAB23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3293443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4,91%</w:t>
            </w:r>
          </w:p>
        </w:tc>
        <w:tc>
          <w:tcPr>
            <w:tcW w:w="760" w:type="dxa"/>
            <w:tcBorders>
              <w:top w:val="nil"/>
              <w:left w:val="nil"/>
              <w:bottom w:val="single" w:sz="4" w:space="0" w:color="auto"/>
              <w:right w:val="single" w:sz="4" w:space="0" w:color="auto"/>
            </w:tcBorders>
            <w:shd w:val="clear" w:color="auto" w:fill="auto"/>
            <w:noWrap/>
            <w:vAlign w:val="center"/>
            <w:hideMark/>
          </w:tcPr>
          <w:p w14:paraId="56ADBFB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2019/09/04</w:t>
            </w:r>
          </w:p>
        </w:tc>
        <w:tc>
          <w:tcPr>
            <w:tcW w:w="960" w:type="dxa"/>
            <w:tcBorders>
              <w:top w:val="nil"/>
              <w:left w:val="nil"/>
              <w:bottom w:val="single" w:sz="4" w:space="0" w:color="auto"/>
              <w:right w:val="single" w:sz="4" w:space="0" w:color="auto"/>
            </w:tcBorders>
            <w:shd w:val="clear" w:color="auto" w:fill="auto"/>
            <w:noWrap/>
            <w:vAlign w:val="center"/>
            <w:hideMark/>
          </w:tcPr>
          <w:p w14:paraId="62A0840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2020/05/07</w:t>
            </w:r>
          </w:p>
        </w:tc>
        <w:tc>
          <w:tcPr>
            <w:tcW w:w="1540" w:type="dxa"/>
            <w:tcBorders>
              <w:top w:val="nil"/>
              <w:left w:val="nil"/>
              <w:bottom w:val="single" w:sz="4" w:space="0" w:color="auto"/>
              <w:right w:val="single" w:sz="4" w:space="0" w:color="auto"/>
            </w:tcBorders>
            <w:shd w:val="clear" w:color="auto" w:fill="auto"/>
            <w:noWrap/>
            <w:vAlign w:val="center"/>
            <w:hideMark/>
          </w:tcPr>
          <w:p w14:paraId="42F500D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5.292.501.519 </w:t>
            </w:r>
          </w:p>
        </w:tc>
      </w:tr>
      <w:tr w:rsidR="00826439" w:rsidRPr="00826439" w14:paraId="3A58408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3BA953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66</w:t>
            </w:r>
          </w:p>
        </w:tc>
        <w:tc>
          <w:tcPr>
            <w:tcW w:w="1160" w:type="dxa"/>
            <w:tcBorders>
              <w:top w:val="nil"/>
              <w:left w:val="nil"/>
              <w:bottom w:val="single" w:sz="4" w:space="0" w:color="auto"/>
              <w:right w:val="single" w:sz="4" w:space="0" w:color="auto"/>
            </w:tcBorders>
            <w:shd w:val="clear" w:color="auto" w:fill="auto"/>
            <w:noWrap/>
            <w:vAlign w:val="center"/>
            <w:hideMark/>
          </w:tcPr>
          <w:p w14:paraId="67FB92E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393EC68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10.000.000.000 </w:t>
            </w:r>
          </w:p>
        </w:tc>
        <w:tc>
          <w:tcPr>
            <w:tcW w:w="640" w:type="dxa"/>
            <w:tcBorders>
              <w:top w:val="nil"/>
              <w:left w:val="nil"/>
              <w:bottom w:val="single" w:sz="4" w:space="0" w:color="auto"/>
              <w:right w:val="single" w:sz="4" w:space="0" w:color="auto"/>
            </w:tcBorders>
            <w:shd w:val="clear" w:color="auto" w:fill="auto"/>
            <w:noWrap/>
            <w:vAlign w:val="center"/>
            <w:hideMark/>
          </w:tcPr>
          <w:p w14:paraId="3852645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1338801</w:t>
            </w:r>
          </w:p>
        </w:tc>
        <w:tc>
          <w:tcPr>
            <w:tcW w:w="840" w:type="dxa"/>
            <w:tcBorders>
              <w:top w:val="nil"/>
              <w:left w:val="nil"/>
              <w:bottom w:val="single" w:sz="4" w:space="0" w:color="auto"/>
              <w:right w:val="single" w:sz="4" w:space="0" w:color="auto"/>
            </w:tcBorders>
            <w:shd w:val="clear" w:color="auto" w:fill="auto"/>
            <w:noWrap/>
            <w:vAlign w:val="center"/>
            <w:hideMark/>
          </w:tcPr>
          <w:p w14:paraId="4BDFFB6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6ABD69A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7F8BECF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4,86%</w:t>
            </w:r>
          </w:p>
        </w:tc>
        <w:tc>
          <w:tcPr>
            <w:tcW w:w="760" w:type="dxa"/>
            <w:tcBorders>
              <w:top w:val="nil"/>
              <w:left w:val="nil"/>
              <w:bottom w:val="single" w:sz="4" w:space="0" w:color="auto"/>
              <w:right w:val="single" w:sz="4" w:space="0" w:color="auto"/>
            </w:tcBorders>
            <w:shd w:val="clear" w:color="auto" w:fill="auto"/>
            <w:noWrap/>
            <w:vAlign w:val="center"/>
            <w:hideMark/>
          </w:tcPr>
          <w:p w14:paraId="360E6E6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2019/09/04</w:t>
            </w:r>
          </w:p>
        </w:tc>
        <w:tc>
          <w:tcPr>
            <w:tcW w:w="960" w:type="dxa"/>
            <w:tcBorders>
              <w:top w:val="nil"/>
              <w:left w:val="nil"/>
              <w:bottom w:val="single" w:sz="4" w:space="0" w:color="auto"/>
              <w:right w:val="single" w:sz="4" w:space="0" w:color="auto"/>
            </w:tcBorders>
            <w:shd w:val="clear" w:color="auto" w:fill="auto"/>
            <w:noWrap/>
            <w:vAlign w:val="center"/>
            <w:hideMark/>
          </w:tcPr>
          <w:p w14:paraId="62AE924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2020/05/07</w:t>
            </w:r>
          </w:p>
        </w:tc>
        <w:tc>
          <w:tcPr>
            <w:tcW w:w="1540" w:type="dxa"/>
            <w:tcBorders>
              <w:top w:val="nil"/>
              <w:left w:val="nil"/>
              <w:bottom w:val="single" w:sz="4" w:space="0" w:color="auto"/>
              <w:right w:val="single" w:sz="4" w:space="0" w:color="auto"/>
            </w:tcBorders>
            <w:shd w:val="clear" w:color="auto" w:fill="auto"/>
            <w:noWrap/>
            <w:vAlign w:val="center"/>
            <w:hideMark/>
          </w:tcPr>
          <w:p w14:paraId="5E2E895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10.156.735.599 </w:t>
            </w:r>
          </w:p>
        </w:tc>
      </w:tr>
      <w:tr w:rsidR="00826439" w:rsidRPr="00826439" w14:paraId="6BF2744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6B1288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67</w:t>
            </w:r>
          </w:p>
        </w:tc>
        <w:tc>
          <w:tcPr>
            <w:tcW w:w="1160" w:type="dxa"/>
            <w:tcBorders>
              <w:top w:val="nil"/>
              <w:left w:val="nil"/>
              <w:bottom w:val="single" w:sz="4" w:space="0" w:color="auto"/>
              <w:right w:val="single" w:sz="4" w:space="0" w:color="auto"/>
            </w:tcBorders>
            <w:shd w:val="clear" w:color="auto" w:fill="auto"/>
            <w:noWrap/>
            <w:vAlign w:val="center"/>
            <w:hideMark/>
          </w:tcPr>
          <w:p w14:paraId="356DA66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4A96917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9.000.000.000 </w:t>
            </w:r>
          </w:p>
        </w:tc>
        <w:tc>
          <w:tcPr>
            <w:tcW w:w="640" w:type="dxa"/>
            <w:tcBorders>
              <w:top w:val="nil"/>
              <w:left w:val="nil"/>
              <w:bottom w:val="single" w:sz="4" w:space="0" w:color="auto"/>
              <w:right w:val="single" w:sz="4" w:space="0" w:color="auto"/>
            </w:tcBorders>
            <w:shd w:val="clear" w:color="auto" w:fill="auto"/>
            <w:noWrap/>
            <w:vAlign w:val="center"/>
            <w:hideMark/>
          </w:tcPr>
          <w:p w14:paraId="0D5680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133880</w:t>
            </w:r>
          </w:p>
        </w:tc>
        <w:tc>
          <w:tcPr>
            <w:tcW w:w="840" w:type="dxa"/>
            <w:tcBorders>
              <w:top w:val="nil"/>
              <w:left w:val="nil"/>
              <w:bottom w:val="single" w:sz="4" w:space="0" w:color="auto"/>
              <w:right w:val="single" w:sz="4" w:space="0" w:color="auto"/>
            </w:tcBorders>
            <w:shd w:val="clear" w:color="auto" w:fill="auto"/>
            <w:noWrap/>
            <w:vAlign w:val="center"/>
            <w:hideMark/>
          </w:tcPr>
          <w:p w14:paraId="4A992A9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243</w:t>
            </w:r>
          </w:p>
        </w:tc>
        <w:tc>
          <w:tcPr>
            <w:tcW w:w="760" w:type="dxa"/>
            <w:tcBorders>
              <w:top w:val="nil"/>
              <w:left w:val="nil"/>
              <w:bottom w:val="single" w:sz="4" w:space="0" w:color="auto"/>
              <w:right w:val="single" w:sz="4" w:space="0" w:color="auto"/>
            </w:tcBorders>
            <w:shd w:val="clear" w:color="auto" w:fill="auto"/>
            <w:noWrap/>
            <w:vAlign w:val="center"/>
            <w:hideMark/>
          </w:tcPr>
          <w:p w14:paraId="7104D4E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616966A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4,86%</w:t>
            </w:r>
          </w:p>
        </w:tc>
        <w:tc>
          <w:tcPr>
            <w:tcW w:w="760" w:type="dxa"/>
            <w:tcBorders>
              <w:top w:val="nil"/>
              <w:left w:val="nil"/>
              <w:bottom w:val="single" w:sz="4" w:space="0" w:color="auto"/>
              <w:right w:val="single" w:sz="4" w:space="0" w:color="auto"/>
            </w:tcBorders>
            <w:shd w:val="clear" w:color="auto" w:fill="auto"/>
            <w:noWrap/>
            <w:vAlign w:val="center"/>
            <w:hideMark/>
          </w:tcPr>
          <w:p w14:paraId="23941DD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2019/09/04</w:t>
            </w:r>
          </w:p>
        </w:tc>
        <w:tc>
          <w:tcPr>
            <w:tcW w:w="960" w:type="dxa"/>
            <w:tcBorders>
              <w:top w:val="nil"/>
              <w:left w:val="nil"/>
              <w:bottom w:val="single" w:sz="4" w:space="0" w:color="auto"/>
              <w:right w:val="single" w:sz="4" w:space="0" w:color="auto"/>
            </w:tcBorders>
            <w:shd w:val="clear" w:color="auto" w:fill="auto"/>
            <w:noWrap/>
            <w:vAlign w:val="center"/>
            <w:hideMark/>
          </w:tcPr>
          <w:p w14:paraId="044A712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2020/05/07</w:t>
            </w:r>
          </w:p>
        </w:tc>
        <w:tc>
          <w:tcPr>
            <w:tcW w:w="1540" w:type="dxa"/>
            <w:tcBorders>
              <w:top w:val="nil"/>
              <w:left w:val="nil"/>
              <w:bottom w:val="single" w:sz="4" w:space="0" w:color="auto"/>
              <w:right w:val="single" w:sz="4" w:space="0" w:color="auto"/>
            </w:tcBorders>
            <w:shd w:val="clear" w:color="auto" w:fill="auto"/>
            <w:noWrap/>
            <w:vAlign w:val="center"/>
            <w:hideMark/>
          </w:tcPr>
          <w:p w14:paraId="36E435D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9.141.062.039 </w:t>
            </w:r>
          </w:p>
        </w:tc>
      </w:tr>
      <w:tr w:rsidR="00826439" w:rsidRPr="00826439" w14:paraId="4D174AA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F64060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68</w:t>
            </w:r>
          </w:p>
        </w:tc>
        <w:tc>
          <w:tcPr>
            <w:tcW w:w="1160" w:type="dxa"/>
            <w:tcBorders>
              <w:top w:val="nil"/>
              <w:left w:val="nil"/>
              <w:bottom w:val="single" w:sz="4" w:space="0" w:color="auto"/>
              <w:right w:val="single" w:sz="4" w:space="0" w:color="auto"/>
            </w:tcBorders>
            <w:shd w:val="clear" w:color="auto" w:fill="auto"/>
            <w:noWrap/>
            <w:vAlign w:val="center"/>
            <w:hideMark/>
          </w:tcPr>
          <w:p w14:paraId="4B48684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33D6346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9.211.989.595 </w:t>
            </w:r>
          </w:p>
        </w:tc>
        <w:tc>
          <w:tcPr>
            <w:tcW w:w="640" w:type="dxa"/>
            <w:tcBorders>
              <w:top w:val="nil"/>
              <w:left w:val="nil"/>
              <w:bottom w:val="single" w:sz="4" w:space="0" w:color="auto"/>
              <w:right w:val="single" w:sz="4" w:space="0" w:color="auto"/>
            </w:tcBorders>
            <w:shd w:val="clear" w:color="auto" w:fill="auto"/>
            <w:noWrap/>
            <w:vAlign w:val="center"/>
            <w:hideMark/>
          </w:tcPr>
          <w:p w14:paraId="3BA62D5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179747</w:t>
            </w:r>
          </w:p>
        </w:tc>
        <w:tc>
          <w:tcPr>
            <w:tcW w:w="840" w:type="dxa"/>
            <w:tcBorders>
              <w:top w:val="nil"/>
              <w:left w:val="nil"/>
              <w:bottom w:val="single" w:sz="4" w:space="0" w:color="auto"/>
              <w:right w:val="single" w:sz="4" w:space="0" w:color="auto"/>
            </w:tcBorders>
            <w:shd w:val="clear" w:color="auto" w:fill="auto"/>
            <w:noWrap/>
            <w:vAlign w:val="center"/>
            <w:hideMark/>
          </w:tcPr>
          <w:p w14:paraId="7127149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187</w:t>
            </w:r>
          </w:p>
        </w:tc>
        <w:tc>
          <w:tcPr>
            <w:tcW w:w="760" w:type="dxa"/>
            <w:tcBorders>
              <w:top w:val="nil"/>
              <w:left w:val="nil"/>
              <w:bottom w:val="single" w:sz="4" w:space="0" w:color="auto"/>
              <w:right w:val="single" w:sz="4" w:space="0" w:color="auto"/>
            </w:tcBorders>
            <w:shd w:val="clear" w:color="auto" w:fill="auto"/>
            <w:noWrap/>
            <w:vAlign w:val="center"/>
            <w:hideMark/>
          </w:tcPr>
          <w:p w14:paraId="034E9DF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7A0F830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402232A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2019/11/05</w:t>
            </w:r>
          </w:p>
        </w:tc>
        <w:tc>
          <w:tcPr>
            <w:tcW w:w="960" w:type="dxa"/>
            <w:tcBorders>
              <w:top w:val="nil"/>
              <w:left w:val="nil"/>
              <w:bottom w:val="single" w:sz="4" w:space="0" w:color="auto"/>
              <w:right w:val="single" w:sz="4" w:space="0" w:color="auto"/>
            </w:tcBorders>
            <w:shd w:val="clear" w:color="auto" w:fill="auto"/>
            <w:noWrap/>
            <w:vAlign w:val="center"/>
            <w:hideMark/>
          </w:tcPr>
          <w:p w14:paraId="7AFF224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2020/05/11</w:t>
            </w:r>
          </w:p>
        </w:tc>
        <w:tc>
          <w:tcPr>
            <w:tcW w:w="1540" w:type="dxa"/>
            <w:tcBorders>
              <w:top w:val="nil"/>
              <w:left w:val="nil"/>
              <w:bottom w:val="single" w:sz="4" w:space="0" w:color="auto"/>
              <w:right w:val="single" w:sz="4" w:space="0" w:color="auto"/>
            </w:tcBorders>
            <w:shd w:val="clear" w:color="auto" w:fill="auto"/>
            <w:noWrap/>
            <w:vAlign w:val="center"/>
            <w:hideMark/>
          </w:tcPr>
          <w:p w14:paraId="28D34BF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9.279.170.500 </w:t>
            </w:r>
          </w:p>
        </w:tc>
      </w:tr>
      <w:tr w:rsidR="00826439" w:rsidRPr="00826439" w14:paraId="0C4C29D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198D54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69</w:t>
            </w:r>
          </w:p>
        </w:tc>
        <w:tc>
          <w:tcPr>
            <w:tcW w:w="1160" w:type="dxa"/>
            <w:tcBorders>
              <w:top w:val="nil"/>
              <w:left w:val="nil"/>
              <w:bottom w:val="single" w:sz="4" w:space="0" w:color="auto"/>
              <w:right w:val="single" w:sz="4" w:space="0" w:color="auto"/>
            </w:tcBorders>
            <w:shd w:val="clear" w:color="auto" w:fill="auto"/>
            <w:noWrap/>
            <w:vAlign w:val="center"/>
            <w:hideMark/>
          </w:tcPr>
          <w:p w14:paraId="2F3A8CA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74330C01" w14:textId="693A40CA"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17.162.195.615 </w:t>
            </w:r>
          </w:p>
        </w:tc>
        <w:tc>
          <w:tcPr>
            <w:tcW w:w="640" w:type="dxa"/>
            <w:tcBorders>
              <w:top w:val="nil"/>
              <w:left w:val="nil"/>
              <w:bottom w:val="single" w:sz="4" w:space="0" w:color="auto"/>
              <w:right w:val="single" w:sz="4" w:space="0" w:color="auto"/>
            </w:tcBorders>
            <w:shd w:val="clear" w:color="auto" w:fill="auto"/>
            <w:noWrap/>
            <w:vAlign w:val="center"/>
            <w:hideMark/>
          </w:tcPr>
          <w:p w14:paraId="65606FA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167481</w:t>
            </w:r>
          </w:p>
        </w:tc>
        <w:tc>
          <w:tcPr>
            <w:tcW w:w="840" w:type="dxa"/>
            <w:tcBorders>
              <w:top w:val="nil"/>
              <w:left w:val="nil"/>
              <w:bottom w:val="single" w:sz="4" w:space="0" w:color="auto"/>
              <w:right w:val="single" w:sz="4" w:space="0" w:color="auto"/>
            </w:tcBorders>
            <w:shd w:val="clear" w:color="auto" w:fill="auto"/>
            <w:noWrap/>
            <w:vAlign w:val="center"/>
            <w:hideMark/>
          </w:tcPr>
          <w:p w14:paraId="3FA9670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60E1C12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4FBB873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683F8D4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2019/10/11</w:t>
            </w:r>
          </w:p>
        </w:tc>
        <w:tc>
          <w:tcPr>
            <w:tcW w:w="960" w:type="dxa"/>
            <w:tcBorders>
              <w:top w:val="nil"/>
              <w:left w:val="nil"/>
              <w:bottom w:val="single" w:sz="4" w:space="0" w:color="auto"/>
              <w:right w:val="single" w:sz="4" w:space="0" w:color="auto"/>
            </w:tcBorders>
            <w:shd w:val="clear" w:color="auto" w:fill="auto"/>
            <w:noWrap/>
            <w:vAlign w:val="center"/>
            <w:hideMark/>
          </w:tcPr>
          <w:p w14:paraId="691C4C3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2020/05/11</w:t>
            </w:r>
          </w:p>
        </w:tc>
        <w:tc>
          <w:tcPr>
            <w:tcW w:w="1540" w:type="dxa"/>
            <w:tcBorders>
              <w:top w:val="nil"/>
              <w:left w:val="nil"/>
              <w:bottom w:val="single" w:sz="4" w:space="0" w:color="auto"/>
              <w:right w:val="single" w:sz="4" w:space="0" w:color="auto"/>
            </w:tcBorders>
            <w:shd w:val="clear" w:color="auto" w:fill="auto"/>
            <w:noWrap/>
            <w:vAlign w:val="center"/>
            <w:hideMark/>
          </w:tcPr>
          <w:p w14:paraId="7DA3B46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17.344.312.908 </w:t>
            </w:r>
          </w:p>
        </w:tc>
      </w:tr>
      <w:tr w:rsidR="00826439" w:rsidRPr="00826439" w14:paraId="519C3647"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0EDB18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70</w:t>
            </w:r>
          </w:p>
        </w:tc>
        <w:tc>
          <w:tcPr>
            <w:tcW w:w="1160" w:type="dxa"/>
            <w:tcBorders>
              <w:top w:val="nil"/>
              <w:left w:val="nil"/>
              <w:bottom w:val="single" w:sz="4" w:space="0" w:color="auto"/>
              <w:right w:val="single" w:sz="4" w:space="0" w:color="auto"/>
            </w:tcBorders>
            <w:shd w:val="clear" w:color="auto" w:fill="auto"/>
            <w:noWrap/>
            <w:vAlign w:val="center"/>
            <w:hideMark/>
          </w:tcPr>
          <w:p w14:paraId="19C1AB5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35D7142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2.183.038.892 </w:t>
            </w:r>
          </w:p>
        </w:tc>
        <w:tc>
          <w:tcPr>
            <w:tcW w:w="640" w:type="dxa"/>
            <w:tcBorders>
              <w:top w:val="nil"/>
              <w:left w:val="nil"/>
              <w:bottom w:val="single" w:sz="4" w:space="0" w:color="auto"/>
              <w:right w:val="single" w:sz="4" w:space="0" w:color="auto"/>
            </w:tcBorders>
            <w:shd w:val="clear" w:color="auto" w:fill="auto"/>
            <w:noWrap/>
            <w:vAlign w:val="center"/>
            <w:hideMark/>
          </w:tcPr>
          <w:p w14:paraId="172C029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165812</w:t>
            </w:r>
          </w:p>
        </w:tc>
        <w:tc>
          <w:tcPr>
            <w:tcW w:w="840" w:type="dxa"/>
            <w:tcBorders>
              <w:top w:val="nil"/>
              <w:left w:val="nil"/>
              <w:bottom w:val="single" w:sz="4" w:space="0" w:color="auto"/>
              <w:right w:val="single" w:sz="4" w:space="0" w:color="auto"/>
            </w:tcBorders>
            <w:shd w:val="clear" w:color="auto" w:fill="auto"/>
            <w:noWrap/>
            <w:vAlign w:val="center"/>
            <w:hideMark/>
          </w:tcPr>
          <w:p w14:paraId="0E6B409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214</w:t>
            </w:r>
          </w:p>
        </w:tc>
        <w:tc>
          <w:tcPr>
            <w:tcW w:w="760" w:type="dxa"/>
            <w:tcBorders>
              <w:top w:val="nil"/>
              <w:left w:val="nil"/>
              <w:bottom w:val="single" w:sz="4" w:space="0" w:color="auto"/>
              <w:right w:val="single" w:sz="4" w:space="0" w:color="auto"/>
            </w:tcBorders>
            <w:shd w:val="clear" w:color="auto" w:fill="auto"/>
            <w:noWrap/>
            <w:vAlign w:val="center"/>
            <w:hideMark/>
          </w:tcPr>
          <w:p w14:paraId="439947A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6A5FB6D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74F69E7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2019/10/09</w:t>
            </w:r>
          </w:p>
        </w:tc>
        <w:tc>
          <w:tcPr>
            <w:tcW w:w="960" w:type="dxa"/>
            <w:tcBorders>
              <w:top w:val="nil"/>
              <w:left w:val="nil"/>
              <w:bottom w:val="single" w:sz="4" w:space="0" w:color="auto"/>
              <w:right w:val="single" w:sz="4" w:space="0" w:color="auto"/>
            </w:tcBorders>
            <w:shd w:val="clear" w:color="auto" w:fill="auto"/>
            <w:noWrap/>
            <w:vAlign w:val="center"/>
            <w:hideMark/>
          </w:tcPr>
          <w:p w14:paraId="342A09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2020/05/11</w:t>
            </w:r>
          </w:p>
        </w:tc>
        <w:tc>
          <w:tcPr>
            <w:tcW w:w="1540" w:type="dxa"/>
            <w:tcBorders>
              <w:top w:val="nil"/>
              <w:left w:val="nil"/>
              <w:bottom w:val="single" w:sz="4" w:space="0" w:color="auto"/>
              <w:right w:val="single" w:sz="4" w:space="0" w:color="auto"/>
            </w:tcBorders>
            <w:shd w:val="clear" w:color="auto" w:fill="auto"/>
            <w:noWrap/>
            <w:vAlign w:val="center"/>
            <w:hideMark/>
          </w:tcPr>
          <w:p w14:paraId="4BC7F8A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2.206.915.545 </w:t>
            </w:r>
          </w:p>
        </w:tc>
      </w:tr>
      <w:tr w:rsidR="00826439" w:rsidRPr="00826439" w14:paraId="3209460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0DB206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71</w:t>
            </w:r>
          </w:p>
        </w:tc>
        <w:tc>
          <w:tcPr>
            <w:tcW w:w="1160" w:type="dxa"/>
            <w:tcBorders>
              <w:top w:val="nil"/>
              <w:left w:val="nil"/>
              <w:bottom w:val="single" w:sz="4" w:space="0" w:color="auto"/>
              <w:right w:val="single" w:sz="4" w:space="0" w:color="auto"/>
            </w:tcBorders>
            <w:shd w:val="clear" w:color="auto" w:fill="auto"/>
            <w:noWrap/>
            <w:vAlign w:val="center"/>
            <w:hideMark/>
          </w:tcPr>
          <w:p w14:paraId="2177DF4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0EBC523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2.048.464.000 </w:t>
            </w:r>
          </w:p>
        </w:tc>
        <w:tc>
          <w:tcPr>
            <w:tcW w:w="640" w:type="dxa"/>
            <w:tcBorders>
              <w:top w:val="nil"/>
              <w:left w:val="nil"/>
              <w:bottom w:val="single" w:sz="4" w:space="0" w:color="auto"/>
              <w:right w:val="single" w:sz="4" w:space="0" w:color="auto"/>
            </w:tcBorders>
            <w:shd w:val="clear" w:color="auto" w:fill="auto"/>
            <w:noWrap/>
            <w:vAlign w:val="center"/>
            <w:hideMark/>
          </w:tcPr>
          <w:p w14:paraId="69AB227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204822</w:t>
            </w:r>
          </w:p>
        </w:tc>
        <w:tc>
          <w:tcPr>
            <w:tcW w:w="840" w:type="dxa"/>
            <w:tcBorders>
              <w:top w:val="nil"/>
              <w:left w:val="nil"/>
              <w:bottom w:val="single" w:sz="4" w:space="0" w:color="auto"/>
              <w:right w:val="single" w:sz="4" w:space="0" w:color="auto"/>
            </w:tcBorders>
            <w:shd w:val="clear" w:color="auto" w:fill="auto"/>
            <w:noWrap/>
            <w:vAlign w:val="center"/>
            <w:hideMark/>
          </w:tcPr>
          <w:p w14:paraId="6556B75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154</w:t>
            </w:r>
          </w:p>
        </w:tc>
        <w:tc>
          <w:tcPr>
            <w:tcW w:w="760" w:type="dxa"/>
            <w:tcBorders>
              <w:top w:val="nil"/>
              <w:left w:val="nil"/>
              <w:bottom w:val="single" w:sz="4" w:space="0" w:color="auto"/>
              <w:right w:val="single" w:sz="4" w:space="0" w:color="auto"/>
            </w:tcBorders>
            <w:shd w:val="clear" w:color="auto" w:fill="auto"/>
            <w:noWrap/>
            <w:vAlign w:val="center"/>
            <w:hideMark/>
          </w:tcPr>
          <w:p w14:paraId="4AC4DC6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7D4813B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4,88%</w:t>
            </w:r>
          </w:p>
        </w:tc>
        <w:tc>
          <w:tcPr>
            <w:tcW w:w="760" w:type="dxa"/>
            <w:tcBorders>
              <w:top w:val="nil"/>
              <w:left w:val="nil"/>
              <w:bottom w:val="single" w:sz="4" w:space="0" w:color="auto"/>
              <w:right w:val="single" w:sz="4" w:space="0" w:color="auto"/>
            </w:tcBorders>
            <w:shd w:val="clear" w:color="auto" w:fill="auto"/>
            <w:noWrap/>
            <w:vAlign w:val="center"/>
            <w:hideMark/>
          </w:tcPr>
          <w:p w14:paraId="5128309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2019/12/09</w:t>
            </w:r>
          </w:p>
        </w:tc>
        <w:tc>
          <w:tcPr>
            <w:tcW w:w="960" w:type="dxa"/>
            <w:tcBorders>
              <w:top w:val="nil"/>
              <w:left w:val="nil"/>
              <w:bottom w:val="single" w:sz="4" w:space="0" w:color="auto"/>
              <w:right w:val="single" w:sz="4" w:space="0" w:color="auto"/>
            </w:tcBorders>
            <w:shd w:val="clear" w:color="auto" w:fill="auto"/>
            <w:noWrap/>
            <w:vAlign w:val="center"/>
            <w:hideMark/>
          </w:tcPr>
          <w:p w14:paraId="0DDCC8D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2020/05/13</w:t>
            </w:r>
          </w:p>
        </w:tc>
        <w:tc>
          <w:tcPr>
            <w:tcW w:w="1540" w:type="dxa"/>
            <w:tcBorders>
              <w:top w:val="nil"/>
              <w:left w:val="nil"/>
              <w:bottom w:val="single" w:sz="4" w:space="0" w:color="auto"/>
              <w:right w:val="single" w:sz="4" w:space="0" w:color="auto"/>
            </w:tcBorders>
            <w:shd w:val="clear" w:color="auto" w:fill="auto"/>
            <w:noWrap/>
            <w:vAlign w:val="center"/>
            <w:hideMark/>
          </w:tcPr>
          <w:p w14:paraId="6A113AC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2.054.481.972 </w:t>
            </w:r>
          </w:p>
        </w:tc>
      </w:tr>
      <w:tr w:rsidR="00826439" w:rsidRPr="00826439" w14:paraId="4C2D20D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8D1456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72</w:t>
            </w:r>
          </w:p>
        </w:tc>
        <w:tc>
          <w:tcPr>
            <w:tcW w:w="1160" w:type="dxa"/>
            <w:tcBorders>
              <w:top w:val="nil"/>
              <w:left w:val="nil"/>
              <w:bottom w:val="single" w:sz="4" w:space="0" w:color="auto"/>
              <w:right w:val="single" w:sz="4" w:space="0" w:color="auto"/>
            </w:tcBorders>
            <w:shd w:val="clear" w:color="auto" w:fill="auto"/>
            <w:noWrap/>
            <w:vAlign w:val="center"/>
            <w:hideMark/>
          </w:tcPr>
          <w:p w14:paraId="7F61453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51A9D21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2.419.753.557 </w:t>
            </w:r>
          </w:p>
        </w:tc>
        <w:tc>
          <w:tcPr>
            <w:tcW w:w="640" w:type="dxa"/>
            <w:tcBorders>
              <w:top w:val="nil"/>
              <w:left w:val="nil"/>
              <w:bottom w:val="single" w:sz="4" w:space="0" w:color="auto"/>
              <w:right w:val="single" w:sz="4" w:space="0" w:color="auto"/>
            </w:tcBorders>
            <w:shd w:val="clear" w:color="auto" w:fill="auto"/>
            <w:noWrap/>
            <w:vAlign w:val="center"/>
            <w:hideMark/>
          </w:tcPr>
          <w:p w14:paraId="7AED4DF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187798</w:t>
            </w:r>
          </w:p>
        </w:tc>
        <w:tc>
          <w:tcPr>
            <w:tcW w:w="840" w:type="dxa"/>
            <w:tcBorders>
              <w:top w:val="nil"/>
              <w:left w:val="nil"/>
              <w:bottom w:val="single" w:sz="4" w:space="0" w:color="auto"/>
              <w:right w:val="single" w:sz="4" w:space="0" w:color="auto"/>
            </w:tcBorders>
            <w:shd w:val="clear" w:color="auto" w:fill="auto"/>
            <w:noWrap/>
            <w:vAlign w:val="center"/>
            <w:hideMark/>
          </w:tcPr>
          <w:p w14:paraId="7CD4CA8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182</w:t>
            </w:r>
          </w:p>
        </w:tc>
        <w:tc>
          <w:tcPr>
            <w:tcW w:w="760" w:type="dxa"/>
            <w:tcBorders>
              <w:top w:val="nil"/>
              <w:left w:val="nil"/>
              <w:bottom w:val="single" w:sz="4" w:space="0" w:color="auto"/>
              <w:right w:val="single" w:sz="4" w:space="0" w:color="auto"/>
            </w:tcBorders>
            <w:shd w:val="clear" w:color="auto" w:fill="auto"/>
            <w:noWrap/>
            <w:vAlign w:val="center"/>
            <w:hideMark/>
          </w:tcPr>
          <w:p w14:paraId="0A69A5B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1205F6E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4,89%</w:t>
            </w:r>
          </w:p>
        </w:tc>
        <w:tc>
          <w:tcPr>
            <w:tcW w:w="760" w:type="dxa"/>
            <w:tcBorders>
              <w:top w:val="nil"/>
              <w:left w:val="nil"/>
              <w:bottom w:val="single" w:sz="4" w:space="0" w:color="auto"/>
              <w:right w:val="single" w:sz="4" w:space="0" w:color="auto"/>
            </w:tcBorders>
            <w:shd w:val="clear" w:color="auto" w:fill="auto"/>
            <w:noWrap/>
            <w:vAlign w:val="center"/>
            <w:hideMark/>
          </w:tcPr>
          <w:p w14:paraId="09DEBF7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2019/11/13</w:t>
            </w:r>
          </w:p>
        </w:tc>
        <w:tc>
          <w:tcPr>
            <w:tcW w:w="960" w:type="dxa"/>
            <w:tcBorders>
              <w:top w:val="nil"/>
              <w:left w:val="nil"/>
              <w:bottom w:val="single" w:sz="4" w:space="0" w:color="auto"/>
              <w:right w:val="single" w:sz="4" w:space="0" w:color="auto"/>
            </w:tcBorders>
            <w:shd w:val="clear" w:color="auto" w:fill="auto"/>
            <w:noWrap/>
            <w:vAlign w:val="center"/>
            <w:hideMark/>
          </w:tcPr>
          <w:p w14:paraId="4163D1C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2020/05/15</w:t>
            </w:r>
          </w:p>
        </w:tc>
        <w:tc>
          <w:tcPr>
            <w:tcW w:w="1540" w:type="dxa"/>
            <w:tcBorders>
              <w:top w:val="nil"/>
              <w:left w:val="nil"/>
              <w:bottom w:val="single" w:sz="4" w:space="0" w:color="auto"/>
              <w:right w:val="single" w:sz="4" w:space="0" w:color="auto"/>
            </w:tcBorders>
            <w:shd w:val="clear" w:color="auto" w:fill="auto"/>
            <w:noWrap/>
            <w:vAlign w:val="center"/>
            <w:hideMark/>
          </w:tcPr>
          <w:p w14:paraId="2D73BD2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2.435.306.226 </w:t>
            </w:r>
          </w:p>
        </w:tc>
      </w:tr>
      <w:tr w:rsidR="00826439" w:rsidRPr="00826439" w14:paraId="5FA07C0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A50D7F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73</w:t>
            </w:r>
          </w:p>
        </w:tc>
        <w:tc>
          <w:tcPr>
            <w:tcW w:w="1160" w:type="dxa"/>
            <w:tcBorders>
              <w:top w:val="nil"/>
              <w:left w:val="nil"/>
              <w:bottom w:val="single" w:sz="4" w:space="0" w:color="auto"/>
              <w:right w:val="single" w:sz="4" w:space="0" w:color="auto"/>
            </w:tcBorders>
            <w:shd w:val="clear" w:color="auto" w:fill="auto"/>
            <w:noWrap/>
            <w:vAlign w:val="center"/>
            <w:hideMark/>
          </w:tcPr>
          <w:p w14:paraId="0A7A7AC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17C5AA0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2.274.427.342 </w:t>
            </w:r>
          </w:p>
        </w:tc>
        <w:tc>
          <w:tcPr>
            <w:tcW w:w="640" w:type="dxa"/>
            <w:tcBorders>
              <w:top w:val="nil"/>
              <w:left w:val="nil"/>
              <w:bottom w:val="single" w:sz="4" w:space="0" w:color="auto"/>
              <w:right w:val="single" w:sz="4" w:space="0" w:color="auto"/>
            </w:tcBorders>
            <w:shd w:val="clear" w:color="auto" w:fill="auto"/>
            <w:noWrap/>
            <w:vAlign w:val="center"/>
            <w:hideMark/>
          </w:tcPr>
          <w:p w14:paraId="1518475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168201</w:t>
            </w:r>
          </w:p>
        </w:tc>
        <w:tc>
          <w:tcPr>
            <w:tcW w:w="840" w:type="dxa"/>
            <w:tcBorders>
              <w:top w:val="nil"/>
              <w:left w:val="nil"/>
              <w:bottom w:val="single" w:sz="4" w:space="0" w:color="auto"/>
              <w:right w:val="single" w:sz="4" w:space="0" w:color="auto"/>
            </w:tcBorders>
            <w:shd w:val="clear" w:color="auto" w:fill="auto"/>
            <w:noWrap/>
            <w:vAlign w:val="center"/>
            <w:hideMark/>
          </w:tcPr>
          <w:p w14:paraId="5F7610C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212</w:t>
            </w:r>
          </w:p>
        </w:tc>
        <w:tc>
          <w:tcPr>
            <w:tcW w:w="760" w:type="dxa"/>
            <w:tcBorders>
              <w:top w:val="nil"/>
              <w:left w:val="nil"/>
              <w:bottom w:val="single" w:sz="4" w:space="0" w:color="auto"/>
              <w:right w:val="single" w:sz="4" w:space="0" w:color="auto"/>
            </w:tcBorders>
            <w:shd w:val="clear" w:color="auto" w:fill="auto"/>
            <w:noWrap/>
            <w:vAlign w:val="center"/>
            <w:hideMark/>
          </w:tcPr>
          <w:p w14:paraId="4F6D736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34F15EE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2AD3BDD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2019/10/15</w:t>
            </w:r>
          </w:p>
        </w:tc>
        <w:tc>
          <w:tcPr>
            <w:tcW w:w="960" w:type="dxa"/>
            <w:tcBorders>
              <w:top w:val="nil"/>
              <w:left w:val="nil"/>
              <w:bottom w:val="single" w:sz="4" w:space="0" w:color="auto"/>
              <w:right w:val="single" w:sz="4" w:space="0" w:color="auto"/>
            </w:tcBorders>
            <w:shd w:val="clear" w:color="auto" w:fill="auto"/>
            <w:noWrap/>
            <w:vAlign w:val="center"/>
            <w:hideMark/>
          </w:tcPr>
          <w:p w14:paraId="18275BE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2020/05/15</w:t>
            </w:r>
          </w:p>
        </w:tc>
        <w:tc>
          <w:tcPr>
            <w:tcW w:w="1540" w:type="dxa"/>
            <w:tcBorders>
              <w:top w:val="nil"/>
              <w:left w:val="nil"/>
              <w:bottom w:val="single" w:sz="4" w:space="0" w:color="auto"/>
              <w:right w:val="single" w:sz="4" w:space="0" w:color="auto"/>
            </w:tcBorders>
            <w:shd w:val="clear" w:color="auto" w:fill="auto"/>
            <w:noWrap/>
            <w:vAlign w:val="center"/>
            <w:hideMark/>
          </w:tcPr>
          <w:p w14:paraId="38FD11C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2.297.496.362 </w:t>
            </w:r>
          </w:p>
        </w:tc>
      </w:tr>
      <w:tr w:rsidR="00826439" w:rsidRPr="00826439" w14:paraId="46A5F4C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AC2E5D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74</w:t>
            </w:r>
          </w:p>
        </w:tc>
        <w:tc>
          <w:tcPr>
            <w:tcW w:w="1160" w:type="dxa"/>
            <w:tcBorders>
              <w:top w:val="nil"/>
              <w:left w:val="nil"/>
              <w:bottom w:val="single" w:sz="4" w:space="0" w:color="auto"/>
              <w:right w:val="single" w:sz="4" w:space="0" w:color="auto"/>
            </w:tcBorders>
            <w:shd w:val="clear" w:color="auto" w:fill="auto"/>
            <w:noWrap/>
            <w:vAlign w:val="center"/>
            <w:hideMark/>
          </w:tcPr>
          <w:p w14:paraId="11F960E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27062215" w14:textId="7AD47925"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1.131.819.130 </w:t>
            </w:r>
          </w:p>
        </w:tc>
        <w:tc>
          <w:tcPr>
            <w:tcW w:w="640" w:type="dxa"/>
            <w:tcBorders>
              <w:top w:val="nil"/>
              <w:left w:val="nil"/>
              <w:bottom w:val="single" w:sz="4" w:space="0" w:color="auto"/>
              <w:right w:val="single" w:sz="4" w:space="0" w:color="auto"/>
            </w:tcBorders>
            <w:shd w:val="clear" w:color="auto" w:fill="auto"/>
            <w:noWrap/>
            <w:vAlign w:val="center"/>
            <w:hideMark/>
          </w:tcPr>
          <w:p w14:paraId="315635A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136098</w:t>
            </w:r>
          </w:p>
        </w:tc>
        <w:tc>
          <w:tcPr>
            <w:tcW w:w="840" w:type="dxa"/>
            <w:tcBorders>
              <w:top w:val="nil"/>
              <w:left w:val="nil"/>
              <w:bottom w:val="single" w:sz="4" w:space="0" w:color="auto"/>
              <w:right w:val="single" w:sz="4" w:space="0" w:color="auto"/>
            </w:tcBorders>
            <w:shd w:val="clear" w:color="auto" w:fill="auto"/>
            <w:noWrap/>
            <w:vAlign w:val="center"/>
            <w:hideMark/>
          </w:tcPr>
          <w:p w14:paraId="5355201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03BCAC5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820" w:type="dxa"/>
            <w:tcBorders>
              <w:top w:val="nil"/>
              <w:left w:val="nil"/>
              <w:bottom w:val="single" w:sz="4" w:space="0" w:color="auto"/>
              <w:right w:val="single" w:sz="4" w:space="0" w:color="auto"/>
            </w:tcBorders>
            <w:shd w:val="clear" w:color="auto" w:fill="auto"/>
            <w:noWrap/>
            <w:vAlign w:val="center"/>
            <w:hideMark/>
          </w:tcPr>
          <w:p w14:paraId="782CFA0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4,75%</w:t>
            </w:r>
          </w:p>
        </w:tc>
        <w:tc>
          <w:tcPr>
            <w:tcW w:w="760" w:type="dxa"/>
            <w:tcBorders>
              <w:top w:val="nil"/>
              <w:left w:val="nil"/>
              <w:bottom w:val="single" w:sz="4" w:space="0" w:color="auto"/>
              <w:right w:val="single" w:sz="4" w:space="0" w:color="auto"/>
            </w:tcBorders>
            <w:shd w:val="clear" w:color="auto" w:fill="auto"/>
            <w:noWrap/>
            <w:vAlign w:val="center"/>
            <w:hideMark/>
          </w:tcPr>
          <w:p w14:paraId="70807F4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2019/10/15</w:t>
            </w:r>
          </w:p>
        </w:tc>
        <w:tc>
          <w:tcPr>
            <w:tcW w:w="960" w:type="dxa"/>
            <w:tcBorders>
              <w:top w:val="nil"/>
              <w:left w:val="nil"/>
              <w:bottom w:val="single" w:sz="4" w:space="0" w:color="auto"/>
              <w:right w:val="single" w:sz="4" w:space="0" w:color="auto"/>
            </w:tcBorders>
            <w:shd w:val="clear" w:color="auto" w:fill="auto"/>
            <w:noWrap/>
            <w:vAlign w:val="center"/>
            <w:hideMark/>
          </w:tcPr>
          <w:p w14:paraId="0C9FFBE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2020/05/15</w:t>
            </w:r>
          </w:p>
        </w:tc>
        <w:tc>
          <w:tcPr>
            <w:tcW w:w="1540" w:type="dxa"/>
            <w:tcBorders>
              <w:top w:val="nil"/>
              <w:left w:val="nil"/>
              <w:bottom w:val="single" w:sz="4" w:space="0" w:color="auto"/>
              <w:right w:val="single" w:sz="4" w:space="0" w:color="auto"/>
            </w:tcBorders>
            <w:shd w:val="clear" w:color="auto" w:fill="auto"/>
            <w:noWrap/>
            <w:vAlign w:val="center"/>
            <w:hideMark/>
          </w:tcPr>
          <w:p w14:paraId="708F5B14" w14:textId="394BC6AB"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1.143.117.926 </w:t>
            </w:r>
          </w:p>
        </w:tc>
      </w:tr>
      <w:tr w:rsidR="00826439" w:rsidRPr="00826439" w14:paraId="1A389F0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7ABEF9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75</w:t>
            </w:r>
          </w:p>
        </w:tc>
        <w:tc>
          <w:tcPr>
            <w:tcW w:w="1160" w:type="dxa"/>
            <w:tcBorders>
              <w:top w:val="nil"/>
              <w:left w:val="nil"/>
              <w:bottom w:val="single" w:sz="4" w:space="0" w:color="auto"/>
              <w:right w:val="single" w:sz="4" w:space="0" w:color="auto"/>
            </w:tcBorders>
            <w:shd w:val="clear" w:color="auto" w:fill="auto"/>
            <w:noWrap/>
            <w:vAlign w:val="center"/>
            <w:hideMark/>
          </w:tcPr>
          <w:p w14:paraId="4A14A09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1461CE6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13.000.000.000 </w:t>
            </w:r>
          </w:p>
        </w:tc>
        <w:tc>
          <w:tcPr>
            <w:tcW w:w="640" w:type="dxa"/>
            <w:tcBorders>
              <w:top w:val="nil"/>
              <w:left w:val="nil"/>
              <w:bottom w:val="single" w:sz="4" w:space="0" w:color="auto"/>
              <w:right w:val="single" w:sz="4" w:space="0" w:color="auto"/>
            </w:tcBorders>
            <w:shd w:val="clear" w:color="auto" w:fill="auto"/>
            <w:noWrap/>
            <w:vAlign w:val="center"/>
            <w:hideMark/>
          </w:tcPr>
          <w:p w14:paraId="0737D71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171265</w:t>
            </w:r>
          </w:p>
        </w:tc>
        <w:tc>
          <w:tcPr>
            <w:tcW w:w="840" w:type="dxa"/>
            <w:tcBorders>
              <w:top w:val="nil"/>
              <w:left w:val="nil"/>
              <w:bottom w:val="single" w:sz="4" w:space="0" w:color="auto"/>
              <w:right w:val="single" w:sz="4" w:space="0" w:color="auto"/>
            </w:tcBorders>
            <w:shd w:val="clear" w:color="auto" w:fill="auto"/>
            <w:noWrap/>
            <w:vAlign w:val="center"/>
            <w:hideMark/>
          </w:tcPr>
          <w:p w14:paraId="0443D53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211</w:t>
            </w:r>
          </w:p>
        </w:tc>
        <w:tc>
          <w:tcPr>
            <w:tcW w:w="760" w:type="dxa"/>
            <w:tcBorders>
              <w:top w:val="nil"/>
              <w:left w:val="nil"/>
              <w:bottom w:val="single" w:sz="4" w:space="0" w:color="auto"/>
              <w:right w:val="single" w:sz="4" w:space="0" w:color="auto"/>
            </w:tcBorders>
            <w:shd w:val="clear" w:color="auto" w:fill="auto"/>
            <w:noWrap/>
            <w:vAlign w:val="center"/>
            <w:hideMark/>
          </w:tcPr>
          <w:p w14:paraId="39567CF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4605B4A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63EF393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2019/10/18</w:t>
            </w:r>
          </w:p>
        </w:tc>
        <w:tc>
          <w:tcPr>
            <w:tcW w:w="960" w:type="dxa"/>
            <w:tcBorders>
              <w:top w:val="nil"/>
              <w:left w:val="nil"/>
              <w:bottom w:val="single" w:sz="4" w:space="0" w:color="auto"/>
              <w:right w:val="single" w:sz="4" w:space="0" w:color="auto"/>
            </w:tcBorders>
            <w:shd w:val="clear" w:color="auto" w:fill="auto"/>
            <w:noWrap/>
            <w:vAlign w:val="center"/>
            <w:hideMark/>
          </w:tcPr>
          <w:p w14:paraId="6B73AE3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2020/05/19</w:t>
            </w:r>
          </w:p>
        </w:tc>
        <w:tc>
          <w:tcPr>
            <w:tcW w:w="1540" w:type="dxa"/>
            <w:tcBorders>
              <w:top w:val="nil"/>
              <w:left w:val="nil"/>
              <w:bottom w:val="single" w:sz="4" w:space="0" w:color="auto"/>
              <w:right w:val="single" w:sz="4" w:space="0" w:color="auto"/>
            </w:tcBorders>
            <w:shd w:val="clear" w:color="auto" w:fill="auto"/>
            <w:noWrap/>
            <w:vAlign w:val="center"/>
            <w:hideMark/>
          </w:tcPr>
          <w:p w14:paraId="4FEEE0F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13.125.976.033 </w:t>
            </w:r>
          </w:p>
        </w:tc>
      </w:tr>
      <w:tr w:rsidR="00826439" w:rsidRPr="00826439" w14:paraId="6A64D1F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9396D5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76</w:t>
            </w:r>
          </w:p>
        </w:tc>
        <w:tc>
          <w:tcPr>
            <w:tcW w:w="1160" w:type="dxa"/>
            <w:tcBorders>
              <w:top w:val="nil"/>
              <w:left w:val="nil"/>
              <w:bottom w:val="single" w:sz="4" w:space="0" w:color="auto"/>
              <w:right w:val="single" w:sz="4" w:space="0" w:color="auto"/>
            </w:tcBorders>
            <w:shd w:val="clear" w:color="auto" w:fill="auto"/>
            <w:noWrap/>
            <w:vAlign w:val="center"/>
            <w:hideMark/>
          </w:tcPr>
          <w:p w14:paraId="7B256DD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5F4926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3.906.422.111 </w:t>
            </w:r>
          </w:p>
        </w:tc>
        <w:tc>
          <w:tcPr>
            <w:tcW w:w="640" w:type="dxa"/>
            <w:tcBorders>
              <w:top w:val="nil"/>
              <w:left w:val="nil"/>
              <w:bottom w:val="single" w:sz="4" w:space="0" w:color="auto"/>
              <w:right w:val="single" w:sz="4" w:space="0" w:color="auto"/>
            </w:tcBorders>
            <w:shd w:val="clear" w:color="auto" w:fill="auto"/>
            <w:noWrap/>
            <w:vAlign w:val="center"/>
            <w:hideMark/>
          </w:tcPr>
          <w:p w14:paraId="72A1281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194507</w:t>
            </w:r>
          </w:p>
        </w:tc>
        <w:tc>
          <w:tcPr>
            <w:tcW w:w="840" w:type="dxa"/>
            <w:tcBorders>
              <w:top w:val="nil"/>
              <w:left w:val="nil"/>
              <w:bottom w:val="single" w:sz="4" w:space="0" w:color="auto"/>
              <w:right w:val="single" w:sz="4" w:space="0" w:color="auto"/>
            </w:tcBorders>
            <w:shd w:val="clear" w:color="auto" w:fill="auto"/>
            <w:noWrap/>
            <w:vAlign w:val="center"/>
            <w:hideMark/>
          </w:tcPr>
          <w:p w14:paraId="2B8C272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3AC664D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6816B6D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4,89%</w:t>
            </w:r>
          </w:p>
        </w:tc>
        <w:tc>
          <w:tcPr>
            <w:tcW w:w="760" w:type="dxa"/>
            <w:tcBorders>
              <w:top w:val="nil"/>
              <w:left w:val="nil"/>
              <w:bottom w:val="single" w:sz="4" w:space="0" w:color="auto"/>
              <w:right w:val="single" w:sz="4" w:space="0" w:color="auto"/>
            </w:tcBorders>
            <w:shd w:val="clear" w:color="auto" w:fill="auto"/>
            <w:noWrap/>
            <w:vAlign w:val="center"/>
            <w:hideMark/>
          </w:tcPr>
          <w:p w14:paraId="4A7114D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2019/11/22</w:t>
            </w:r>
          </w:p>
        </w:tc>
        <w:tc>
          <w:tcPr>
            <w:tcW w:w="960" w:type="dxa"/>
            <w:tcBorders>
              <w:top w:val="nil"/>
              <w:left w:val="nil"/>
              <w:bottom w:val="single" w:sz="4" w:space="0" w:color="auto"/>
              <w:right w:val="single" w:sz="4" w:space="0" w:color="auto"/>
            </w:tcBorders>
            <w:shd w:val="clear" w:color="auto" w:fill="auto"/>
            <w:noWrap/>
            <w:vAlign w:val="center"/>
            <w:hideMark/>
          </w:tcPr>
          <w:p w14:paraId="6F38976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2020/05/22</w:t>
            </w:r>
          </w:p>
        </w:tc>
        <w:tc>
          <w:tcPr>
            <w:tcW w:w="1540" w:type="dxa"/>
            <w:tcBorders>
              <w:top w:val="nil"/>
              <w:left w:val="nil"/>
              <w:bottom w:val="single" w:sz="4" w:space="0" w:color="auto"/>
              <w:right w:val="single" w:sz="4" w:space="0" w:color="auto"/>
            </w:tcBorders>
            <w:shd w:val="clear" w:color="auto" w:fill="auto"/>
            <w:noWrap/>
            <w:vAlign w:val="center"/>
            <w:hideMark/>
          </w:tcPr>
          <w:p w14:paraId="69151F7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3.926.808.318 </w:t>
            </w:r>
          </w:p>
        </w:tc>
      </w:tr>
      <w:tr w:rsidR="00826439" w:rsidRPr="00826439" w14:paraId="00C80D3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8D9259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77</w:t>
            </w:r>
          </w:p>
        </w:tc>
        <w:tc>
          <w:tcPr>
            <w:tcW w:w="1160" w:type="dxa"/>
            <w:tcBorders>
              <w:top w:val="nil"/>
              <w:left w:val="nil"/>
              <w:bottom w:val="single" w:sz="4" w:space="0" w:color="auto"/>
              <w:right w:val="single" w:sz="4" w:space="0" w:color="auto"/>
            </w:tcBorders>
            <w:shd w:val="clear" w:color="auto" w:fill="auto"/>
            <w:noWrap/>
            <w:vAlign w:val="center"/>
            <w:hideMark/>
          </w:tcPr>
          <w:p w14:paraId="7D82DDC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2083EF2B" w14:textId="43D705DF"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1.753.121.174 </w:t>
            </w:r>
          </w:p>
        </w:tc>
        <w:tc>
          <w:tcPr>
            <w:tcW w:w="640" w:type="dxa"/>
            <w:tcBorders>
              <w:top w:val="nil"/>
              <w:left w:val="nil"/>
              <w:bottom w:val="single" w:sz="4" w:space="0" w:color="auto"/>
              <w:right w:val="single" w:sz="4" w:space="0" w:color="auto"/>
            </w:tcBorders>
            <w:shd w:val="clear" w:color="auto" w:fill="auto"/>
            <w:noWrap/>
            <w:vAlign w:val="center"/>
            <w:hideMark/>
          </w:tcPr>
          <w:p w14:paraId="007B1B7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138152</w:t>
            </w:r>
          </w:p>
        </w:tc>
        <w:tc>
          <w:tcPr>
            <w:tcW w:w="840" w:type="dxa"/>
            <w:tcBorders>
              <w:top w:val="nil"/>
              <w:left w:val="nil"/>
              <w:bottom w:val="single" w:sz="4" w:space="0" w:color="auto"/>
              <w:right w:val="single" w:sz="4" w:space="0" w:color="auto"/>
            </w:tcBorders>
            <w:shd w:val="clear" w:color="auto" w:fill="auto"/>
            <w:noWrap/>
            <w:vAlign w:val="center"/>
            <w:hideMark/>
          </w:tcPr>
          <w:p w14:paraId="0DD96BB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690609E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27B6874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4,79%</w:t>
            </w:r>
          </w:p>
        </w:tc>
        <w:tc>
          <w:tcPr>
            <w:tcW w:w="760" w:type="dxa"/>
            <w:tcBorders>
              <w:top w:val="nil"/>
              <w:left w:val="nil"/>
              <w:bottom w:val="single" w:sz="4" w:space="0" w:color="auto"/>
              <w:right w:val="single" w:sz="4" w:space="0" w:color="auto"/>
            </w:tcBorders>
            <w:shd w:val="clear" w:color="auto" w:fill="auto"/>
            <w:noWrap/>
            <w:vAlign w:val="center"/>
            <w:hideMark/>
          </w:tcPr>
          <w:p w14:paraId="20713C6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2019/11/22</w:t>
            </w:r>
          </w:p>
        </w:tc>
        <w:tc>
          <w:tcPr>
            <w:tcW w:w="960" w:type="dxa"/>
            <w:tcBorders>
              <w:top w:val="nil"/>
              <w:left w:val="nil"/>
              <w:bottom w:val="single" w:sz="4" w:space="0" w:color="auto"/>
              <w:right w:val="single" w:sz="4" w:space="0" w:color="auto"/>
            </w:tcBorders>
            <w:shd w:val="clear" w:color="auto" w:fill="auto"/>
            <w:noWrap/>
            <w:vAlign w:val="center"/>
            <w:hideMark/>
          </w:tcPr>
          <w:p w14:paraId="33266A4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2020/05/22</w:t>
            </w:r>
          </w:p>
        </w:tc>
        <w:tc>
          <w:tcPr>
            <w:tcW w:w="1540" w:type="dxa"/>
            <w:tcBorders>
              <w:top w:val="nil"/>
              <w:left w:val="nil"/>
              <w:bottom w:val="single" w:sz="4" w:space="0" w:color="auto"/>
              <w:right w:val="single" w:sz="4" w:space="0" w:color="auto"/>
            </w:tcBorders>
            <w:shd w:val="clear" w:color="auto" w:fill="auto"/>
            <w:noWrap/>
            <w:vAlign w:val="center"/>
            <w:hideMark/>
          </w:tcPr>
          <w:p w14:paraId="63C7BDC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1.762.089.168 </w:t>
            </w:r>
          </w:p>
        </w:tc>
      </w:tr>
      <w:tr w:rsidR="00826439" w:rsidRPr="00826439" w14:paraId="21EDFE1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5AF472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78</w:t>
            </w:r>
          </w:p>
        </w:tc>
        <w:tc>
          <w:tcPr>
            <w:tcW w:w="1160" w:type="dxa"/>
            <w:tcBorders>
              <w:top w:val="nil"/>
              <w:left w:val="nil"/>
              <w:bottom w:val="single" w:sz="4" w:space="0" w:color="auto"/>
              <w:right w:val="single" w:sz="4" w:space="0" w:color="auto"/>
            </w:tcBorders>
            <w:shd w:val="clear" w:color="auto" w:fill="auto"/>
            <w:noWrap/>
            <w:vAlign w:val="center"/>
            <w:hideMark/>
          </w:tcPr>
          <w:p w14:paraId="004A678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4172BE1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7.000.000.000 </w:t>
            </w:r>
          </w:p>
        </w:tc>
        <w:tc>
          <w:tcPr>
            <w:tcW w:w="640" w:type="dxa"/>
            <w:tcBorders>
              <w:top w:val="nil"/>
              <w:left w:val="nil"/>
              <w:bottom w:val="single" w:sz="4" w:space="0" w:color="auto"/>
              <w:right w:val="single" w:sz="4" w:space="0" w:color="auto"/>
            </w:tcBorders>
            <w:shd w:val="clear" w:color="auto" w:fill="auto"/>
            <w:noWrap/>
            <w:vAlign w:val="center"/>
            <w:hideMark/>
          </w:tcPr>
          <w:p w14:paraId="69F4175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172304</w:t>
            </w:r>
          </w:p>
        </w:tc>
        <w:tc>
          <w:tcPr>
            <w:tcW w:w="840" w:type="dxa"/>
            <w:tcBorders>
              <w:top w:val="nil"/>
              <w:left w:val="nil"/>
              <w:bottom w:val="single" w:sz="4" w:space="0" w:color="auto"/>
              <w:right w:val="single" w:sz="4" w:space="0" w:color="auto"/>
            </w:tcBorders>
            <w:shd w:val="clear" w:color="auto" w:fill="auto"/>
            <w:noWrap/>
            <w:vAlign w:val="center"/>
            <w:hideMark/>
          </w:tcPr>
          <w:p w14:paraId="543163D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05D0F2A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3BF98A3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6F385DD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2019/10/22</w:t>
            </w:r>
          </w:p>
        </w:tc>
        <w:tc>
          <w:tcPr>
            <w:tcW w:w="960" w:type="dxa"/>
            <w:tcBorders>
              <w:top w:val="nil"/>
              <w:left w:val="nil"/>
              <w:bottom w:val="single" w:sz="4" w:space="0" w:color="auto"/>
              <w:right w:val="single" w:sz="4" w:space="0" w:color="auto"/>
            </w:tcBorders>
            <w:shd w:val="clear" w:color="auto" w:fill="auto"/>
            <w:noWrap/>
            <w:vAlign w:val="center"/>
            <w:hideMark/>
          </w:tcPr>
          <w:p w14:paraId="6075A0C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2020/05/22</w:t>
            </w:r>
          </w:p>
        </w:tc>
        <w:tc>
          <w:tcPr>
            <w:tcW w:w="1540" w:type="dxa"/>
            <w:tcBorders>
              <w:top w:val="nil"/>
              <w:left w:val="nil"/>
              <w:bottom w:val="single" w:sz="4" w:space="0" w:color="auto"/>
              <w:right w:val="single" w:sz="4" w:space="0" w:color="auto"/>
            </w:tcBorders>
            <w:shd w:val="clear" w:color="auto" w:fill="auto"/>
            <w:noWrap/>
            <w:vAlign w:val="center"/>
            <w:hideMark/>
          </w:tcPr>
          <w:p w14:paraId="1BA4F23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7.064.795.658 </w:t>
            </w:r>
          </w:p>
        </w:tc>
      </w:tr>
      <w:tr w:rsidR="00826439" w:rsidRPr="00826439" w14:paraId="03E7CFF3"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23A1385"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79</w:t>
            </w:r>
          </w:p>
        </w:tc>
        <w:tc>
          <w:tcPr>
            <w:tcW w:w="1160" w:type="dxa"/>
            <w:tcBorders>
              <w:top w:val="nil"/>
              <w:left w:val="nil"/>
              <w:bottom w:val="single" w:sz="4" w:space="0" w:color="auto"/>
              <w:right w:val="single" w:sz="4" w:space="0" w:color="auto"/>
            </w:tcBorders>
            <w:shd w:val="clear" w:color="auto" w:fill="auto"/>
            <w:noWrap/>
            <w:vAlign w:val="center"/>
            <w:hideMark/>
          </w:tcPr>
          <w:p w14:paraId="490BBA9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2032F6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2.767.108.012 </w:t>
            </w:r>
          </w:p>
        </w:tc>
        <w:tc>
          <w:tcPr>
            <w:tcW w:w="640" w:type="dxa"/>
            <w:tcBorders>
              <w:top w:val="nil"/>
              <w:left w:val="nil"/>
              <w:bottom w:val="single" w:sz="4" w:space="0" w:color="auto"/>
              <w:right w:val="single" w:sz="4" w:space="0" w:color="auto"/>
            </w:tcBorders>
            <w:shd w:val="clear" w:color="auto" w:fill="auto"/>
            <w:noWrap/>
            <w:vAlign w:val="center"/>
            <w:hideMark/>
          </w:tcPr>
          <w:p w14:paraId="2F3EE48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199038</w:t>
            </w:r>
          </w:p>
        </w:tc>
        <w:tc>
          <w:tcPr>
            <w:tcW w:w="840" w:type="dxa"/>
            <w:tcBorders>
              <w:top w:val="nil"/>
              <w:left w:val="nil"/>
              <w:bottom w:val="single" w:sz="4" w:space="0" w:color="auto"/>
              <w:right w:val="single" w:sz="4" w:space="0" w:color="auto"/>
            </w:tcBorders>
            <w:shd w:val="clear" w:color="auto" w:fill="auto"/>
            <w:noWrap/>
            <w:vAlign w:val="center"/>
            <w:hideMark/>
          </w:tcPr>
          <w:p w14:paraId="1AD2D66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25781DD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0C1C79B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4,89%</w:t>
            </w:r>
          </w:p>
        </w:tc>
        <w:tc>
          <w:tcPr>
            <w:tcW w:w="760" w:type="dxa"/>
            <w:tcBorders>
              <w:top w:val="nil"/>
              <w:left w:val="nil"/>
              <w:bottom w:val="single" w:sz="4" w:space="0" w:color="auto"/>
              <w:right w:val="single" w:sz="4" w:space="0" w:color="auto"/>
            </w:tcBorders>
            <w:shd w:val="clear" w:color="auto" w:fill="auto"/>
            <w:noWrap/>
            <w:vAlign w:val="center"/>
            <w:hideMark/>
          </w:tcPr>
          <w:p w14:paraId="3B767AC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2019/11/29</w:t>
            </w:r>
          </w:p>
        </w:tc>
        <w:tc>
          <w:tcPr>
            <w:tcW w:w="960" w:type="dxa"/>
            <w:tcBorders>
              <w:top w:val="nil"/>
              <w:left w:val="nil"/>
              <w:bottom w:val="single" w:sz="4" w:space="0" w:color="auto"/>
              <w:right w:val="single" w:sz="4" w:space="0" w:color="auto"/>
            </w:tcBorders>
            <w:shd w:val="clear" w:color="auto" w:fill="auto"/>
            <w:noWrap/>
            <w:vAlign w:val="center"/>
            <w:hideMark/>
          </w:tcPr>
          <w:p w14:paraId="4B513CE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2020/05/29</w:t>
            </w:r>
          </w:p>
        </w:tc>
        <w:tc>
          <w:tcPr>
            <w:tcW w:w="1540" w:type="dxa"/>
            <w:tcBorders>
              <w:top w:val="nil"/>
              <w:left w:val="nil"/>
              <w:bottom w:val="single" w:sz="4" w:space="0" w:color="auto"/>
              <w:right w:val="single" w:sz="4" w:space="0" w:color="auto"/>
            </w:tcBorders>
            <w:shd w:val="clear" w:color="auto" w:fill="auto"/>
            <w:noWrap/>
            <w:vAlign w:val="center"/>
            <w:hideMark/>
          </w:tcPr>
          <w:p w14:paraId="069B03A7" w14:textId="09C0B142"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2.778.951.121 </w:t>
            </w:r>
          </w:p>
        </w:tc>
      </w:tr>
      <w:tr w:rsidR="00826439" w:rsidRPr="00826439" w14:paraId="5E616E2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F214C2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80</w:t>
            </w:r>
          </w:p>
        </w:tc>
        <w:tc>
          <w:tcPr>
            <w:tcW w:w="1160" w:type="dxa"/>
            <w:tcBorders>
              <w:top w:val="nil"/>
              <w:left w:val="nil"/>
              <w:bottom w:val="single" w:sz="4" w:space="0" w:color="auto"/>
              <w:right w:val="single" w:sz="4" w:space="0" w:color="auto"/>
            </w:tcBorders>
            <w:shd w:val="clear" w:color="auto" w:fill="auto"/>
            <w:noWrap/>
            <w:vAlign w:val="center"/>
            <w:hideMark/>
          </w:tcPr>
          <w:p w14:paraId="6B7475A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DD3362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906.665.076 </w:t>
            </w:r>
          </w:p>
        </w:tc>
        <w:tc>
          <w:tcPr>
            <w:tcW w:w="640" w:type="dxa"/>
            <w:tcBorders>
              <w:top w:val="nil"/>
              <w:left w:val="nil"/>
              <w:bottom w:val="single" w:sz="4" w:space="0" w:color="auto"/>
              <w:right w:val="single" w:sz="4" w:space="0" w:color="auto"/>
            </w:tcBorders>
            <w:shd w:val="clear" w:color="auto" w:fill="auto"/>
            <w:noWrap/>
            <w:vAlign w:val="center"/>
            <w:hideMark/>
          </w:tcPr>
          <w:p w14:paraId="5AD15AF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138664</w:t>
            </w:r>
          </w:p>
        </w:tc>
        <w:tc>
          <w:tcPr>
            <w:tcW w:w="840" w:type="dxa"/>
            <w:tcBorders>
              <w:top w:val="nil"/>
              <w:left w:val="nil"/>
              <w:bottom w:val="single" w:sz="4" w:space="0" w:color="auto"/>
              <w:right w:val="single" w:sz="4" w:space="0" w:color="auto"/>
            </w:tcBorders>
            <w:shd w:val="clear" w:color="auto" w:fill="auto"/>
            <w:noWrap/>
            <w:vAlign w:val="center"/>
            <w:hideMark/>
          </w:tcPr>
          <w:p w14:paraId="2C9ADB98"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4BE71C5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7C37832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78AE926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2019/12/04</w:t>
            </w:r>
          </w:p>
        </w:tc>
        <w:tc>
          <w:tcPr>
            <w:tcW w:w="960" w:type="dxa"/>
            <w:tcBorders>
              <w:top w:val="nil"/>
              <w:left w:val="nil"/>
              <w:bottom w:val="single" w:sz="4" w:space="0" w:color="auto"/>
              <w:right w:val="single" w:sz="4" w:space="0" w:color="auto"/>
            </w:tcBorders>
            <w:shd w:val="clear" w:color="auto" w:fill="auto"/>
            <w:noWrap/>
            <w:vAlign w:val="center"/>
            <w:hideMark/>
          </w:tcPr>
          <w:p w14:paraId="5C337E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2020/06/04</w:t>
            </w:r>
          </w:p>
        </w:tc>
        <w:tc>
          <w:tcPr>
            <w:tcW w:w="1540" w:type="dxa"/>
            <w:tcBorders>
              <w:top w:val="nil"/>
              <w:left w:val="nil"/>
              <w:bottom w:val="single" w:sz="4" w:space="0" w:color="auto"/>
              <w:right w:val="single" w:sz="4" w:space="0" w:color="auto"/>
            </w:tcBorders>
            <w:shd w:val="clear" w:color="auto" w:fill="auto"/>
            <w:noWrap/>
            <w:vAlign w:val="center"/>
            <w:hideMark/>
          </w:tcPr>
          <w:p w14:paraId="3E9111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910.016.553 </w:t>
            </w:r>
          </w:p>
        </w:tc>
      </w:tr>
      <w:tr w:rsidR="00826439" w:rsidRPr="00826439" w14:paraId="1B39292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ACB8B6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81</w:t>
            </w:r>
          </w:p>
        </w:tc>
        <w:tc>
          <w:tcPr>
            <w:tcW w:w="1160" w:type="dxa"/>
            <w:tcBorders>
              <w:top w:val="nil"/>
              <w:left w:val="nil"/>
              <w:bottom w:val="single" w:sz="4" w:space="0" w:color="auto"/>
              <w:right w:val="single" w:sz="4" w:space="0" w:color="auto"/>
            </w:tcBorders>
            <w:shd w:val="clear" w:color="auto" w:fill="auto"/>
            <w:noWrap/>
            <w:vAlign w:val="center"/>
            <w:hideMark/>
          </w:tcPr>
          <w:p w14:paraId="4DAF17C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5130EE36" w14:textId="2B0910E8"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1.101.122.563 </w:t>
            </w:r>
          </w:p>
        </w:tc>
        <w:tc>
          <w:tcPr>
            <w:tcW w:w="640" w:type="dxa"/>
            <w:tcBorders>
              <w:top w:val="nil"/>
              <w:left w:val="nil"/>
              <w:bottom w:val="single" w:sz="4" w:space="0" w:color="auto"/>
              <w:right w:val="single" w:sz="4" w:space="0" w:color="auto"/>
            </w:tcBorders>
            <w:shd w:val="clear" w:color="auto" w:fill="auto"/>
            <w:noWrap/>
            <w:vAlign w:val="center"/>
            <w:hideMark/>
          </w:tcPr>
          <w:p w14:paraId="5D2F662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138664</w:t>
            </w:r>
          </w:p>
        </w:tc>
        <w:tc>
          <w:tcPr>
            <w:tcW w:w="840" w:type="dxa"/>
            <w:tcBorders>
              <w:top w:val="nil"/>
              <w:left w:val="nil"/>
              <w:bottom w:val="single" w:sz="4" w:space="0" w:color="auto"/>
              <w:right w:val="single" w:sz="4" w:space="0" w:color="auto"/>
            </w:tcBorders>
            <w:shd w:val="clear" w:color="auto" w:fill="auto"/>
            <w:noWrap/>
            <w:vAlign w:val="center"/>
            <w:hideMark/>
          </w:tcPr>
          <w:p w14:paraId="7E6FE75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260C209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3A4B557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77198AF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2019/12/04</w:t>
            </w:r>
          </w:p>
        </w:tc>
        <w:tc>
          <w:tcPr>
            <w:tcW w:w="960" w:type="dxa"/>
            <w:tcBorders>
              <w:top w:val="nil"/>
              <w:left w:val="nil"/>
              <w:bottom w:val="single" w:sz="4" w:space="0" w:color="auto"/>
              <w:right w:val="single" w:sz="4" w:space="0" w:color="auto"/>
            </w:tcBorders>
            <w:shd w:val="clear" w:color="auto" w:fill="auto"/>
            <w:noWrap/>
            <w:vAlign w:val="center"/>
            <w:hideMark/>
          </w:tcPr>
          <w:p w14:paraId="29F436E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2020/06/04</w:t>
            </w:r>
          </w:p>
        </w:tc>
        <w:tc>
          <w:tcPr>
            <w:tcW w:w="1540" w:type="dxa"/>
            <w:tcBorders>
              <w:top w:val="nil"/>
              <w:left w:val="nil"/>
              <w:bottom w:val="single" w:sz="4" w:space="0" w:color="auto"/>
              <w:right w:val="single" w:sz="4" w:space="0" w:color="auto"/>
            </w:tcBorders>
            <w:shd w:val="clear" w:color="auto" w:fill="auto"/>
            <w:noWrap/>
            <w:vAlign w:val="center"/>
            <w:hideMark/>
          </w:tcPr>
          <w:p w14:paraId="18EB702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1.105.192.850 </w:t>
            </w:r>
          </w:p>
        </w:tc>
      </w:tr>
      <w:tr w:rsidR="00826439" w:rsidRPr="00826439" w14:paraId="3EB9E3A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AEDB455"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82</w:t>
            </w:r>
          </w:p>
        </w:tc>
        <w:tc>
          <w:tcPr>
            <w:tcW w:w="1160" w:type="dxa"/>
            <w:tcBorders>
              <w:top w:val="nil"/>
              <w:left w:val="nil"/>
              <w:bottom w:val="single" w:sz="4" w:space="0" w:color="auto"/>
              <w:right w:val="single" w:sz="4" w:space="0" w:color="auto"/>
            </w:tcBorders>
            <w:shd w:val="clear" w:color="auto" w:fill="auto"/>
            <w:noWrap/>
            <w:vAlign w:val="center"/>
            <w:hideMark/>
          </w:tcPr>
          <w:p w14:paraId="0C2C0CE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10F8B73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11.000.804.577 </w:t>
            </w:r>
          </w:p>
        </w:tc>
        <w:tc>
          <w:tcPr>
            <w:tcW w:w="640" w:type="dxa"/>
            <w:tcBorders>
              <w:top w:val="nil"/>
              <w:left w:val="nil"/>
              <w:bottom w:val="single" w:sz="4" w:space="0" w:color="auto"/>
              <w:right w:val="single" w:sz="4" w:space="0" w:color="auto"/>
            </w:tcBorders>
            <w:shd w:val="clear" w:color="auto" w:fill="auto"/>
            <w:noWrap/>
            <w:vAlign w:val="center"/>
            <w:hideMark/>
          </w:tcPr>
          <w:p w14:paraId="309A828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199521</w:t>
            </w:r>
          </w:p>
        </w:tc>
        <w:tc>
          <w:tcPr>
            <w:tcW w:w="840" w:type="dxa"/>
            <w:tcBorders>
              <w:top w:val="nil"/>
              <w:left w:val="nil"/>
              <w:bottom w:val="single" w:sz="4" w:space="0" w:color="auto"/>
              <w:right w:val="single" w:sz="4" w:space="0" w:color="auto"/>
            </w:tcBorders>
            <w:shd w:val="clear" w:color="auto" w:fill="auto"/>
            <w:noWrap/>
            <w:vAlign w:val="center"/>
            <w:hideMark/>
          </w:tcPr>
          <w:p w14:paraId="328DD64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182</w:t>
            </w:r>
          </w:p>
        </w:tc>
        <w:tc>
          <w:tcPr>
            <w:tcW w:w="760" w:type="dxa"/>
            <w:tcBorders>
              <w:top w:val="nil"/>
              <w:left w:val="nil"/>
              <w:bottom w:val="single" w:sz="4" w:space="0" w:color="auto"/>
              <w:right w:val="single" w:sz="4" w:space="0" w:color="auto"/>
            </w:tcBorders>
            <w:shd w:val="clear" w:color="auto" w:fill="auto"/>
            <w:noWrap/>
            <w:vAlign w:val="center"/>
            <w:hideMark/>
          </w:tcPr>
          <w:p w14:paraId="066115F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5595625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4,94%</w:t>
            </w:r>
          </w:p>
        </w:tc>
        <w:tc>
          <w:tcPr>
            <w:tcW w:w="760" w:type="dxa"/>
            <w:tcBorders>
              <w:top w:val="nil"/>
              <w:left w:val="nil"/>
              <w:bottom w:val="single" w:sz="4" w:space="0" w:color="auto"/>
              <w:right w:val="single" w:sz="4" w:space="0" w:color="auto"/>
            </w:tcBorders>
            <w:shd w:val="clear" w:color="auto" w:fill="auto"/>
            <w:noWrap/>
            <w:vAlign w:val="center"/>
            <w:hideMark/>
          </w:tcPr>
          <w:p w14:paraId="5EEAEF8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2019/12/02</w:t>
            </w:r>
          </w:p>
        </w:tc>
        <w:tc>
          <w:tcPr>
            <w:tcW w:w="960" w:type="dxa"/>
            <w:tcBorders>
              <w:top w:val="nil"/>
              <w:left w:val="nil"/>
              <w:bottom w:val="single" w:sz="4" w:space="0" w:color="auto"/>
              <w:right w:val="single" w:sz="4" w:space="0" w:color="auto"/>
            </w:tcBorders>
            <w:shd w:val="clear" w:color="auto" w:fill="auto"/>
            <w:noWrap/>
            <w:vAlign w:val="center"/>
            <w:hideMark/>
          </w:tcPr>
          <w:p w14:paraId="75F52B1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2020/06/04</w:t>
            </w:r>
          </w:p>
        </w:tc>
        <w:tc>
          <w:tcPr>
            <w:tcW w:w="1540" w:type="dxa"/>
            <w:tcBorders>
              <w:top w:val="nil"/>
              <w:left w:val="nil"/>
              <w:bottom w:val="single" w:sz="4" w:space="0" w:color="auto"/>
              <w:right w:val="single" w:sz="4" w:space="0" w:color="auto"/>
            </w:tcBorders>
            <w:shd w:val="clear" w:color="auto" w:fill="auto"/>
            <w:noWrap/>
            <w:vAlign w:val="center"/>
            <w:hideMark/>
          </w:tcPr>
          <w:p w14:paraId="59842CD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11.043.654.631 </w:t>
            </w:r>
          </w:p>
        </w:tc>
      </w:tr>
      <w:tr w:rsidR="00826439" w:rsidRPr="00826439" w14:paraId="09B7D02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C5EDDB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83</w:t>
            </w:r>
          </w:p>
        </w:tc>
        <w:tc>
          <w:tcPr>
            <w:tcW w:w="1160" w:type="dxa"/>
            <w:tcBorders>
              <w:top w:val="nil"/>
              <w:left w:val="nil"/>
              <w:bottom w:val="single" w:sz="4" w:space="0" w:color="auto"/>
              <w:right w:val="single" w:sz="4" w:space="0" w:color="auto"/>
            </w:tcBorders>
            <w:shd w:val="clear" w:color="auto" w:fill="auto"/>
            <w:noWrap/>
            <w:vAlign w:val="center"/>
            <w:hideMark/>
          </w:tcPr>
          <w:p w14:paraId="5E6DDA0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375313B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11.784.338.946 </w:t>
            </w:r>
          </w:p>
        </w:tc>
        <w:tc>
          <w:tcPr>
            <w:tcW w:w="640" w:type="dxa"/>
            <w:tcBorders>
              <w:top w:val="nil"/>
              <w:left w:val="nil"/>
              <w:bottom w:val="single" w:sz="4" w:space="0" w:color="auto"/>
              <w:right w:val="single" w:sz="4" w:space="0" w:color="auto"/>
            </w:tcBorders>
            <w:shd w:val="clear" w:color="auto" w:fill="auto"/>
            <w:noWrap/>
            <w:vAlign w:val="center"/>
            <w:hideMark/>
          </w:tcPr>
          <w:p w14:paraId="0927478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179400</w:t>
            </w:r>
          </w:p>
        </w:tc>
        <w:tc>
          <w:tcPr>
            <w:tcW w:w="840" w:type="dxa"/>
            <w:tcBorders>
              <w:top w:val="nil"/>
              <w:left w:val="nil"/>
              <w:bottom w:val="single" w:sz="4" w:space="0" w:color="auto"/>
              <w:right w:val="single" w:sz="4" w:space="0" w:color="auto"/>
            </w:tcBorders>
            <w:shd w:val="clear" w:color="auto" w:fill="auto"/>
            <w:noWrap/>
            <w:vAlign w:val="center"/>
            <w:hideMark/>
          </w:tcPr>
          <w:p w14:paraId="42EF611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213</w:t>
            </w:r>
          </w:p>
        </w:tc>
        <w:tc>
          <w:tcPr>
            <w:tcW w:w="760" w:type="dxa"/>
            <w:tcBorders>
              <w:top w:val="nil"/>
              <w:left w:val="nil"/>
              <w:bottom w:val="single" w:sz="4" w:space="0" w:color="auto"/>
              <w:right w:val="single" w:sz="4" w:space="0" w:color="auto"/>
            </w:tcBorders>
            <w:shd w:val="clear" w:color="auto" w:fill="auto"/>
            <w:noWrap/>
            <w:vAlign w:val="center"/>
            <w:hideMark/>
          </w:tcPr>
          <w:p w14:paraId="746D0D9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16AF505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5EA9140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2019/11/01</w:t>
            </w:r>
          </w:p>
        </w:tc>
        <w:tc>
          <w:tcPr>
            <w:tcW w:w="960" w:type="dxa"/>
            <w:tcBorders>
              <w:top w:val="nil"/>
              <w:left w:val="nil"/>
              <w:bottom w:val="single" w:sz="4" w:space="0" w:color="auto"/>
              <w:right w:val="single" w:sz="4" w:space="0" w:color="auto"/>
            </w:tcBorders>
            <w:shd w:val="clear" w:color="auto" w:fill="auto"/>
            <w:noWrap/>
            <w:vAlign w:val="center"/>
            <w:hideMark/>
          </w:tcPr>
          <w:p w14:paraId="17716FB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2020/06/04</w:t>
            </w:r>
          </w:p>
        </w:tc>
        <w:tc>
          <w:tcPr>
            <w:tcW w:w="1540" w:type="dxa"/>
            <w:tcBorders>
              <w:top w:val="nil"/>
              <w:left w:val="nil"/>
              <w:bottom w:val="single" w:sz="4" w:space="0" w:color="auto"/>
              <w:right w:val="single" w:sz="4" w:space="0" w:color="auto"/>
            </w:tcBorders>
            <w:shd w:val="clear" w:color="auto" w:fill="auto"/>
            <w:noWrap/>
            <w:vAlign w:val="center"/>
            <w:hideMark/>
          </w:tcPr>
          <w:p w14:paraId="75D865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11.877.789.225 </w:t>
            </w:r>
          </w:p>
        </w:tc>
      </w:tr>
      <w:tr w:rsidR="00826439" w:rsidRPr="00826439" w14:paraId="074B1259"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BBA369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84</w:t>
            </w:r>
          </w:p>
        </w:tc>
        <w:tc>
          <w:tcPr>
            <w:tcW w:w="1160" w:type="dxa"/>
            <w:tcBorders>
              <w:top w:val="nil"/>
              <w:left w:val="nil"/>
              <w:bottom w:val="single" w:sz="4" w:space="0" w:color="auto"/>
              <w:right w:val="single" w:sz="4" w:space="0" w:color="auto"/>
            </w:tcBorders>
            <w:shd w:val="clear" w:color="auto" w:fill="auto"/>
            <w:noWrap/>
            <w:vAlign w:val="center"/>
            <w:hideMark/>
          </w:tcPr>
          <w:p w14:paraId="61CC724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7B48F5B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1.700.421.408 </w:t>
            </w:r>
          </w:p>
        </w:tc>
        <w:tc>
          <w:tcPr>
            <w:tcW w:w="640" w:type="dxa"/>
            <w:tcBorders>
              <w:top w:val="nil"/>
              <w:left w:val="nil"/>
              <w:bottom w:val="single" w:sz="4" w:space="0" w:color="auto"/>
              <w:right w:val="single" w:sz="4" w:space="0" w:color="auto"/>
            </w:tcBorders>
            <w:shd w:val="clear" w:color="auto" w:fill="auto"/>
            <w:noWrap/>
            <w:vAlign w:val="center"/>
            <w:hideMark/>
          </w:tcPr>
          <w:p w14:paraId="39076B3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138698</w:t>
            </w:r>
          </w:p>
        </w:tc>
        <w:tc>
          <w:tcPr>
            <w:tcW w:w="840" w:type="dxa"/>
            <w:tcBorders>
              <w:top w:val="nil"/>
              <w:left w:val="nil"/>
              <w:bottom w:val="single" w:sz="4" w:space="0" w:color="auto"/>
              <w:right w:val="single" w:sz="4" w:space="0" w:color="auto"/>
            </w:tcBorders>
            <w:shd w:val="clear" w:color="auto" w:fill="auto"/>
            <w:noWrap/>
            <w:vAlign w:val="center"/>
            <w:hideMark/>
          </w:tcPr>
          <w:p w14:paraId="6CA8C8A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2226F7A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4BF6954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4DC8E08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2019/12/05</w:t>
            </w:r>
          </w:p>
        </w:tc>
        <w:tc>
          <w:tcPr>
            <w:tcW w:w="960" w:type="dxa"/>
            <w:tcBorders>
              <w:top w:val="nil"/>
              <w:left w:val="nil"/>
              <w:bottom w:val="single" w:sz="4" w:space="0" w:color="auto"/>
              <w:right w:val="single" w:sz="4" w:space="0" w:color="auto"/>
            </w:tcBorders>
            <w:shd w:val="clear" w:color="auto" w:fill="auto"/>
            <w:noWrap/>
            <w:vAlign w:val="center"/>
            <w:hideMark/>
          </w:tcPr>
          <w:p w14:paraId="2E5AE6A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2020/06/05</w:t>
            </w:r>
          </w:p>
        </w:tc>
        <w:tc>
          <w:tcPr>
            <w:tcW w:w="1540" w:type="dxa"/>
            <w:tcBorders>
              <w:top w:val="nil"/>
              <w:left w:val="nil"/>
              <w:bottom w:val="single" w:sz="4" w:space="0" w:color="auto"/>
              <w:right w:val="single" w:sz="4" w:space="0" w:color="auto"/>
            </w:tcBorders>
            <w:shd w:val="clear" w:color="auto" w:fill="auto"/>
            <w:noWrap/>
            <w:vAlign w:val="center"/>
            <w:hideMark/>
          </w:tcPr>
          <w:p w14:paraId="704E4F7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1.706.473.783 </w:t>
            </w:r>
          </w:p>
        </w:tc>
      </w:tr>
      <w:tr w:rsidR="00826439" w:rsidRPr="00826439" w14:paraId="7A5C754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60BA7E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85</w:t>
            </w:r>
          </w:p>
        </w:tc>
        <w:tc>
          <w:tcPr>
            <w:tcW w:w="1160" w:type="dxa"/>
            <w:tcBorders>
              <w:top w:val="nil"/>
              <w:left w:val="nil"/>
              <w:bottom w:val="single" w:sz="4" w:space="0" w:color="auto"/>
              <w:right w:val="single" w:sz="4" w:space="0" w:color="auto"/>
            </w:tcBorders>
            <w:shd w:val="clear" w:color="auto" w:fill="auto"/>
            <w:noWrap/>
            <w:vAlign w:val="center"/>
            <w:hideMark/>
          </w:tcPr>
          <w:p w14:paraId="68349B3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4533481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18.000.000.000 </w:t>
            </w:r>
          </w:p>
        </w:tc>
        <w:tc>
          <w:tcPr>
            <w:tcW w:w="640" w:type="dxa"/>
            <w:tcBorders>
              <w:top w:val="nil"/>
              <w:left w:val="nil"/>
              <w:bottom w:val="single" w:sz="4" w:space="0" w:color="auto"/>
              <w:right w:val="single" w:sz="4" w:space="0" w:color="auto"/>
            </w:tcBorders>
            <w:shd w:val="clear" w:color="auto" w:fill="auto"/>
            <w:noWrap/>
            <w:vAlign w:val="center"/>
            <w:hideMark/>
          </w:tcPr>
          <w:p w14:paraId="5B61CCF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204013</w:t>
            </w:r>
          </w:p>
        </w:tc>
        <w:tc>
          <w:tcPr>
            <w:tcW w:w="840" w:type="dxa"/>
            <w:tcBorders>
              <w:top w:val="nil"/>
              <w:left w:val="nil"/>
              <w:bottom w:val="single" w:sz="4" w:space="0" w:color="auto"/>
              <w:right w:val="single" w:sz="4" w:space="0" w:color="auto"/>
            </w:tcBorders>
            <w:shd w:val="clear" w:color="auto" w:fill="auto"/>
            <w:noWrap/>
            <w:vAlign w:val="center"/>
            <w:hideMark/>
          </w:tcPr>
          <w:p w14:paraId="5201BA9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185</w:t>
            </w:r>
          </w:p>
        </w:tc>
        <w:tc>
          <w:tcPr>
            <w:tcW w:w="760" w:type="dxa"/>
            <w:tcBorders>
              <w:top w:val="nil"/>
              <w:left w:val="nil"/>
              <w:bottom w:val="single" w:sz="4" w:space="0" w:color="auto"/>
              <w:right w:val="single" w:sz="4" w:space="0" w:color="auto"/>
            </w:tcBorders>
            <w:shd w:val="clear" w:color="auto" w:fill="auto"/>
            <w:noWrap/>
            <w:vAlign w:val="center"/>
            <w:hideMark/>
          </w:tcPr>
          <w:p w14:paraId="275FDA9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2350D0D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4,99%</w:t>
            </w:r>
          </w:p>
        </w:tc>
        <w:tc>
          <w:tcPr>
            <w:tcW w:w="760" w:type="dxa"/>
            <w:tcBorders>
              <w:top w:val="nil"/>
              <w:left w:val="nil"/>
              <w:bottom w:val="single" w:sz="4" w:space="0" w:color="auto"/>
              <w:right w:val="single" w:sz="4" w:space="0" w:color="auto"/>
            </w:tcBorders>
            <w:shd w:val="clear" w:color="auto" w:fill="auto"/>
            <w:noWrap/>
            <w:vAlign w:val="center"/>
            <w:hideMark/>
          </w:tcPr>
          <w:p w14:paraId="6E6935C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2019/12/06</w:t>
            </w:r>
          </w:p>
        </w:tc>
        <w:tc>
          <w:tcPr>
            <w:tcW w:w="960" w:type="dxa"/>
            <w:tcBorders>
              <w:top w:val="nil"/>
              <w:left w:val="nil"/>
              <w:bottom w:val="single" w:sz="4" w:space="0" w:color="auto"/>
              <w:right w:val="single" w:sz="4" w:space="0" w:color="auto"/>
            </w:tcBorders>
            <w:shd w:val="clear" w:color="auto" w:fill="auto"/>
            <w:noWrap/>
            <w:vAlign w:val="center"/>
            <w:hideMark/>
          </w:tcPr>
          <w:p w14:paraId="5540F36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2020/06/08</w:t>
            </w:r>
          </w:p>
        </w:tc>
        <w:tc>
          <w:tcPr>
            <w:tcW w:w="1540" w:type="dxa"/>
            <w:tcBorders>
              <w:top w:val="nil"/>
              <w:left w:val="nil"/>
              <w:bottom w:val="single" w:sz="4" w:space="0" w:color="auto"/>
              <w:right w:val="single" w:sz="4" w:space="0" w:color="auto"/>
            </w:tcBorders>
            <w:shd w:val="clear" w:color="auto" w:fill="auto"/>
            <w:noWrap/>
            <w:vAlign w:val="center"/>
            <w:hideMark/>
          </w:tcPr>
          <w:p w14:paraId="37C7783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18.060.841.186 </w:t>
            </w:r>
          </w:p>
        </w:tc>
      </w:tr>
      <w:tr w:rsidR="00826439" w:rsidRPr="00826439" w14:paraId="2E413E42"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80B2830"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lastRenderedPageBreak/>
              <w:t>86</w:t>
            </w:r>
          </w:p>
        </w:tc>
        <w:tc>
          <w:tcPr>
            <w:tcW w:w="1160" w:type="dxa"/>
            <w:tcBorders>
              <w:top w:val="nil"/>
              <w:left w:val="nil"/>
              <w:bottom w:val="single" w:sz="4" w:space="0" w:color="auto"/>
              <w:right w:val="single" w:sz="4" w:space="0" w:color="auto"/>
            </w:tcBorders>
            <w:shd w:val="clear" w:color="auto" w:fill="auto"/>
            <w:noWrap/>
            <w:vAlign w:val="center"/>
            <w:hideMark/>
          </w:tcPr>
          <w:p w14:paraId="6F1190BA"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0FEA20D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18.000.000.000 </w:t>
            </w:r>
          </w:p>
        </w:tc>
        <w:tc>
          <w:tcPr>
            <w:tcW w:w="640" w:type="dxa"/>
            <w:tcBorders>
              <w:top w:val="nil"/>
              <w:left w:val="nil"/>
              <w:bottom w:val="single" w:sz="4" w:space="0" w:color="auto"/>
              <w:right w:val="single" w:sz="4" w:space="0" w:color="auto"/>
            </w:tcBorders>
            <w:shd w:val="clear" w:color="auto" w:fill="auto"/>
            <w:noWrap/>
            <w:vAlign w:val="center"/>
            <w:hideMark/>
          </w:tcPr>
          <w:p w14:paraId="23FB8A5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138956</w:t>
            </w:r>
          </w:p>
        </w:tc>
        <w:tc>
          <w:tcPr>
            <w:tcW w:w="840" w:type="dxa"/>
            <w:tcBorders>
              <w:top w:val="nil"/>
              <w:left w:val="nil"/>
              <w:bottom w:val="single" w:sz="4" w:space="0" w:color="auto"/>
              <w:right w:val="single" w:sz="4" w:space="0" w:color="auto"/>
            </w:tcBorders>
            <w:shd w:val="clear" w:color="auto" w:fill="auto"/>
            <w:noWrap/>
            <w:vAlign w:val="center"/>
            <w:hideMark/>
          </w:tcPr>
          <w:p w14:paraId="03F6ED1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182</w:t>
            </w:r>
          </w:p>
        </w:tc>
        <w:tc>
          <w:tcPr>
            <w:tcW w:w="760" w:type="dxa"/>
            <w:tcBorders>
              <w:top w:val="nil"/>
              <w:left w:val="nil"/>
              <w:bottom w:val="single" w:sz="4" w:space="0" w:color="auto"/>
              <w:right w:val="single" w:sz="4" w:space="0" w:color="auto"/>
            </w:tcBorders>
            <w:shd w:val="clear" w:color="auto" w:fill="auto"/>
            <w:noWrap/>
            <w:vAlign w:val="center"/>
            <w:hideMark/>
          </w:tcPr>
          <w:p w14:paraId="32F2821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1C768EE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0B5594E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2019/12/06</w:t>
            </w:r>
          </w:p>
        </w:tc>
        <w:tc>
          <w:tcPr>
            <w:tcW w:w="960" w:type="dxa"/>
            <w:tcBorders>
              <w:top w:val="nil"/>
              <w:left w:val="nil"/>
              <w:bottom w:val="single" w:sz="4" w:space="0" w:color="auto"/>
              <w:right w:val="single" w:sz="4" w:space="0" w:color="auto"/>
            </w:tcBorders>
            <w:shd w:val="clear" w:color="auto" w:fill="auto"/>
            <w:noWrap/>
            <w:vAlign w:val="center"/>
            <w:hideMark/>
          </w:tcPr>
          <w:p w14:paraId="6D3F33D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2020/06/08</w:t>
            </w:r>
          </w:p>
        </w:tc>
        <w:tc>
          <w:tcPr>
            <w:tcW w:w="1540" w:type="dxa"/>
            <w:tcBorders>
              <w:top w:val="nil"/>
              <w:left w:val="nil"/>
              <w:bottom w:val="single" w:sz="4" w:space="0" w:color="auto"/>
              <w:right w:val="single" w:sz="4" w:space="0" w:color="auto"/>
            </w:tcBorders>
            <w:shd w:val="clear" w:color="auto" w:fill="auto"/>
            <w:noWrap/>
            <w:vAlign w:val="center"/>
            <w:hideMark/>
          </w:tcPr>
          <w:p w14:paraId="2CB4C6F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18.061.607.190 </w:t>
            </w:r>
          </w:p>
        </w:tc>
      </w:tr>
      <w:tr w:rsidR="00826439" w:rsidRPr="00826439" w14:paraId="471023E3"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7FE259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87</w:t>
            </w:r>
          </w:p>
        </w:tc>
        <w:tc>
          <w:tcPr>
            <w:tcW w:w="1160" w:type="dxa"/>
            <w:tcBorders>
              <w:top w:val="nil"/>
              <w:left w:val="nil"/>
              <w:bottom w:val="single" w:sz="4" w:space="0" w:color="auto"/>
              <w:right w:val="single" w:sz="4" w:space="0" w:color="auto"/>
            </w:tcBorders>
            <w:shd w:val="clear" w:color="auto" w:fill="auto"/>
            <w:noWrap/>
            <w:vAlign w:val="center"/>
            <w:hideMark/>
          </w:tcPr>
          <w:p w14:paraId="0BF60EB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799F670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6.228.994.793 </w:t>
            </w:r>
          </w:p>
        </w:tc>
        <w:tc>
          <w:tcPr>
            <w:tcW w:w="640" w:type="dxa"/>
            <w:tcBorders>
              <w:top w:val="nil"/>
              <w:left w:val="nil"/>
              <w:bottom w:val="single" w:sz="4" w:space="0" w:color="auto"/>
              <w:right w:val="single" w:sz="4" w:space="0" w:color="auto"/>
            </w:tcBorders>
            <w:shd w:val="clear" w:color="auto" w:fill="auto"/>
            <w:noWrap/>
            <w:vAlign w:val="center"/>
            <w:hideMark/>
          </w:tcPr>
          <w:p w14:paraId="734094F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179754</w:t>
            </w:r>
          </w:p>
        </w:tc>
        <w:tc>
          <w:tcPr>
            <w:tcW w:w="840" w:type="dxa"/>
            <w:tcBorders>
              <w:top w:val="nil"/>
              <w:left w:val="nil"/>
              <w:bottom w:val="single" w:sz="4" w:space="0" w:color="auto"/>
              <w:right w:val="single" w:sz="4" w:space="0" w:color="auto"/>
            </w:tcBorders>
            <w:shd w:val="clear" w:color="auto" w:fill="auto"/>
            <w:noWrap/>
            <w:vAlign w:val="center"/>
            <w:hideMark/>
          </w:tcPr>
          <w:p w14:paraId="0F9FB9B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213</w:t>
            </w:r>
          </w:p>
        </w:tc>
        <w:tc>
          <w:tcPr>
            <w:tcW w:w="760" w:type="dxa"/>
            <w:tcBorders>
              <w:top w:val="nil"/>
              <w:left w:val="nil"/>
              <w:bottom w:val="single" w:sz="4" w:space="0" w:color="auto"/>
              <w:right w:val="single" w:sz="4" w:space="0" w:color="auto"/>
            </w:tcBorders>
            <w:shd w:val="clear" w:color="auto" w:fill="auto"/>
            <w:noWrap/>
            <w:vAlign w:val="center"/>
            <w:hideMark/>
          </w:tcPr>
          <w:p w14:paraId="7DA3C62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0EF5432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4,80%</w:t>
            </w:r>
          </w:p>
        </w:tc>
        <w:tc>
          <w:tcPr>
            <w:tcW w:w="760" w:type="dxa"/>
            <w:tcBorders>
              <w:top w:val="nil"/>
              <w:left w:val="nil"/>
              <w:bottom w:val="single" w:sz="4" w:space="0" w:color="auto"/>
              <w:right w:val="single" w:sz="4" w:space="0" w:color="auto"/>
            </w:tcBorders>
            <w:shd w:val="clear" w:color="auto" w:fill="auto"/>
            <w:noWrap/>
            <w:vAlign w:val="center"/>
            <w:hideMark/>
          </w:tcPr>
          <w:p w14:paraId="721EBEA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2019/11/05</w:t>
            </w:r>
          </w:p>
        </w:tc>
        <w:tc>
          <w:tcPr>
            <w:tcW w:w="960" w:type="dxa"/>
            <w:tcBorders>
              <w:top w:val="nil"/>
              <w:left w:val="nil"/>
              <w:bottom w:val="single" w:sz="4" w:space="0" w:color="auto"/>
              <w:right w:val="single" w:sz="4" w:space="0" w:color="auto"/>
            </w:tcBorders>
            <w:shd w:val="clear" w:color="auto" w:fill="auto"/>
            <w:noWrap/>
            <w:vAlign w:val="center"/>
            <w:hideMark/>
          </w:tcPr>
          <w:p w14:paraId="208429E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2020/06/08</w:t>
            </w:r>
          </w:p>
        </w:tc>
        <w:tc>
          <w:tcPr>
            <w:tcW w:w="1540" w:type="dxa"/>
            <w:tcBorders>
              <w:top w:val="nil"/>
              <w:left w:val="nil"/>
              <w:bottom w:val="single" w:sz="4" w:space="0" w:color="auto"/>
              <w:right w:val="single" w:sz="4" w:space="0" w:color="auto"/>
            </w:tcBorders>
            <w:shd w:val="clear" w:color="auto" w:fill="auto"/>
            <w:noWrap/>
            <w:vAlign w:val="center"/>
            <w:hideMark/>
          </w:tcPr>
          <w:p w14:paraId="0948C09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6.274.624.121 </w:t>
            </w:r>
          </w:p>
        </w:tc>
      </w:tr>
      <w:tr w:rsidR="00826439" w:rsidRPr="00826439" w14:paraId="5D5D0008"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13D918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88</w:t>
            </w:r>
          </w:p>
        </w:tc>
        <w:tc>
          <w:tcPr>
            <w:tcW w:w="1160" w:type="dxa"/>
            <w:tcBorders>
              <w:top w:val="nil"/>
              <w:left w:val="nil"/>
              <w:bottom w:val="single" w:sz="4" w:space="0" w:color="auto"/>
              <w:right w:val="single" w:sz="4" w:space="0" w:color="auto"/>
            </w:tcBorders>
            <w:shd w:val="clear" w:color="auto" w:fill="auto"/>
            <w:noWrap/>
            <w:vAlign w:val="center"/>
            <w:hideMark/>
          </w:tcPr>
          <w:p w14:paraId="4205E97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77DAAE9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2.000.000.000 </w:t>
            </w:r>
          </w:p>
        </w:tc>
        <w:tc>
          <w:tcPr>
            <w:tcW w:w="640" w:type="dxa"/>
            <w:tcBorders>
              <w:top w:val="nil"/>
              <w:left w:val="nil"/>
              <w:bottom w:val="single" w:sz="4" w:space="0" w:color="auto"/>
              <w:right w:val="single" w:sz="4" w:space="0" w:color="auto"/>
            </w:tcBorders>
            <w:shd w:val="clear" w:color="auto" w:fill="auto"/>
            <w:noWrap/>
            <w:vAlign w:val="center"/>
            <w:hideMark/>
          </w:tcPr>
          <w:p w14:paraId="1B686BF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207411</w:t>
            </w:r>
          </w:p>
        </w:tc>
        <w:tc>
          <w:tcPr>
            <w:tcW w:w="840" w:type="dxa"/>
            <w:tcBorders>
              <w:top w:val="nil"/>
              <w:left w:val="nil"/>
              <w:bottom w:val="single" w:sz="4" w:space="0" w:color="auto"/>
              <w:right w:val="single" w:sz="4" w:space="0" w:color="auto"/>
            </w:tcBorders>
            <w:shd w:val="clear" w:color="auto" w:fill="auto"/>
            <w:noWrap/>
            <w:vAlign w:val="center"/>
            <w:hideMark/>
          </w:tcPr>
          <w:p w14:paraId="1003851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183</w:t>
            </w:r>
          </w:p>
        </w:tc>
        <w:tc>
          <w:tcPr>
            <w:tcW w:w="760" w:type="dxa"/>
            <w:tcBorders>
              <w:top w:val="nil"/>
              <w:left w:val="nil"/>
              <w:bottom w:val="single" w:sz="4" w:space="0" w:color="auto"/>
              <w:right w:val="single" w:sz="4" w:space="0" w:color="auto"/>
            </w:tcBorders>
            <w:shd w:val="clear" w:color="auto" w:fill="auto"/>
            <w:noWrap/>
            <w:vAlign w:val="center"/>
            <w:hideMark/>
          </w:tcPr>
          <w:p w14:paraId="721524A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302B48E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4,99%</w:t>
            </w:r>
          </w:p>
        </w:tc>
        <w:tc>
          <w:tcPr>
            <w:tcW w:w="760" w:type="dxa"/>
            <w:tcBorders>
              <w:top w:val="nil"/>
              <w:left w:val="nil"/>
              <w:bottom w:val="single" w:sz="4" w:space="0" w:color="auto"/>
              <w:right w:val="single" w:sz="4" w:space="0" w:color="auto"/>
            </w:tcBorders>
            <w:shd w:val="clear" w:color="auto" w:fill="auto"/>
            <w:noWrap/>
            <w:vAlign w:val="center"/>
            <w:hideMark/>
          </w:tcPr>
          <w:p w14:paraId="0799592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2019/12/11</w:t>
            </w:r>
          </w:p>
        </w:tc>
        <w:tc>
          <w:tcPr>
            <w:tcW w:w="960" w:type="dxa"/>
            <w:tcBorders>
              <w:top w:val="nil"/>
              <w:left w:val="nil"/>
              <w:bottom w:val="single" w:sz="4" w:space="0" w:color="auto"/>
              <w:right w:val="single" w:sz="4" w:space="0" w:color="auto"/>
            </w:tcBorders>
            <w:shd w:val="clear" w:color="auto" w:fill="auto"/>
            <w:noWrap/>
            <w:vAlign w:val="center"/>
            <w:hideMark/>
          </w:tcPr>
          <w:p w14:paraId="20FD273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2020/06/12</w:t>
            </w:r>
          </w:p>
        </w:tc>
        <w:tc>
          <w:tcPr>
            <w:tcW w:w="1540" w:type="dxa"/>
            <w:tcBorders>
              <w:top w:val="nil"/>
              <w:left w:val="nil"/>
              <w:bottom w:val="single" w:sz="4" w:space="0" w:color="auto"/>
              <w:right w:val="single" w:sz="4" w:space="0" w:color="auto"/>
            </w:tcBorders>
            <w:shd w:val="clear" w:color="auto" w:fill="auto"/>
            <w:noWrap/>
            <w:vAlign w:val="center"/>
            <w:hideMark/>
          </w:tcPr>
          <w:p w14:paraId="2AD58BB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2.005.406.363 </w:t>
            </w:r>
          </w:p>
        </w:tc>
      </w:tr>
      <w:tr w:rsidR="00826439" w:rsidRPr="00826439" w14:paraId="68AC392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3D720F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89</w:t>
            </w:r>
          </w:p>
        </w:tc>
        <w:tc>
          <w:tcPr>
            <w:tcW w:w="1160" w:type="dxa"/>
            <w:tcBorders>
              <w:top w:val="nil"/>
              <w:left w:val="nil"/>
              <w:bottom w:val="single" w:sz="4" w:space="0" w:color="auto"/>
              <w:right w:val="single" w:sz="4" w:space="0" w:color="auto"/>
            </w:tcBorders>
            <w:shd w:val="clear" w:color="auto" w:fill="auto"/>
            <w:noWrap/>
            <w:vAlign w:val="center"/>
            <w:hideMark/>
          </w:tcPr>
          <w:p w14:paraId="7F18EA2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79DB405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7.000.000.000 </w:t>
            </w:r>
          </w:p>
        </w:tc>
        <w:tc>
          <w:tcPr>
            <w:tcW w:w="640" w:type="dxa"/>
            <w:tcBorders>
              <w:top w:val="nil"/>
              <w:left w:val="nil"/>
              <w:bottom w:val="single" w:sz="4" w:space="0" w:color="auto"/>
              <w:right w:val="single" w:sz="4" w:space="0" w:color="auto"/>
            </w:tcBorders>
            <w:shd w:val="clear" w:color="auto" w:fill="auto"/>
            <w:noWrap/>
            <w:vAlign w:val="center"/>
            <w:hideMark/>
          </w:tcPr>
          <w:p w14:paraId="6B3F4A2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208123</w:t>
            </w:r>
          </w:p>
        </w:tc>
        <w:tc>
          <w:tcPr>
            <w:tcW w:w="840" w:type="dxa"/>
            <w:tcBorders>
              <w:top w:val="nil"/>
              <w:left w:val="nil"/>
              <w:bottom w:val="single" w:sz="4" w:space="0" w:color="auto"/>
              <w:right w:val="single" w:sz="4" w:space="0" w:color="auto"/>
            </w:tcBorders>
            <w:shd w:val="clear" w:color="auto" w:fill="auto"/>
            <w:noWrap/>
            <w:vAlign w:val="center"/>
            <w:hideMark/>
          </w:tcPr>
          <w:p w14:paraId="760C953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5BC4E06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2AE1BAA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30C1FCA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2019/12/12</w:t>
            </w:r>
          </w:p>
        </w:tc>
        <w:tc>
          <w:tcPr>
            <w:tcW w:w="960" w:type="dxa"/>
            <w:tcBorders>
              <w:top w:val="nil"/>
              <w:left w:val="nil"/>
              <w:bottom w:val="single" w:sz="4" w:space="0" w:color="auto"/>
              <w:right w:val="single" w:sz="4" w:space="0" w:color="auto"/>
            </w:tcBorders>
            <w:shd w:val="clear" w:color="auto" w:fill="auto"/>
            <w:noWrap/>
            <w:vAlign w:val="center"/>
            <w:hideMark/>
          </w:tcPr>
          <w:p w14:paraId="1D06225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2020/06/12</w:t>
            </w:r>
          </w:p>
        </w:tc>
        <w:tc>
          <w:tcPr>
            <w:tcW w:w="1540" w:type="dxa"/>
            <w:tcBorders>
              <w:top w:val="nil"/>
              <w:left w:val="nil"/>
              <w:bottom w:val="single" w:sz="4" w:space="0" w:color="auto"/>
              <w:right w:val="single" w:sz="4" w:space="0" w:color="auto"/>
            </w:tcBorders>
            <w:shd w:val="clear" w:color="auto" w:fill="auto"/>
            <w:noWrap/>
            <w:vAlign w:val="center"/>
            <w:hideMark/>
          </w:tcPr>
          <w:p w14:paraId="0F5FC8E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7.018.198.675 </w:t>
            </w:r>
          </w:p>
        </w:tc>
      </w:tr>
      <w:tr w:rsidR="00826439" w:rsidRPr="00826439" w14:paraId="565AC614"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21AC167"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90</w:t>
            </w:r>
          </w:p>
        </w:tc>
        <w:tc>
          <w:tcPr>
            <w:tcW w:w="1160" w:type="dxa"/>
            <w:tcBorders>
              <w:top w:val="nil"/>
              <w:left w:val="nil"/>
              <w:bottom w:val="single" w:sz="4" w:space="0" w:color="auto"/>
              <w:right w:val="single" w:sz="4" w:space="0" w:color="auto"/>
            </w:tcBorders>
            <w:shd w:val="clear" w:color="auto" w:fill="auto"/>
            <w:noWrap/>
            <w:vAlign w:val="center"/>
            <w:hideMark/>
          </w:tcPr>
          <w:p w14:paraId="477A538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3AE323F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3.615.287.272 </w:t>
            </w:r>
          </w:p>
        </w:tc>
        <w:tc>
          <w:tcPr>
            <w:tcW w:w="640" w:type="dxa"/>
            <w:tcBorders>
              <w:top w:val="nil"/>
              <w:left w:val="nil"/>
              <w:bottom w:val="single" w:sz="4" w:space="0" w:color="auto"/>
              <w:right w:val="single" w:sz="4" w:space="0" w:color="auto"/>
            </w:tcBorders>
            <w:shd w:val="clear" w:color="auto" w:fill="auto"/>
            <w:noWrap/>
            <w:vAlign w:val="center"/>
            <w:hideMark/>
          </w:tcPr>
          <w:p w14:paraId="36E8280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186912</w:t>
            </w:r>
          </w:p>
        </w:tc>
        <w:tc>
          <w:tcPr>
            <w:tcW w:w="840" w:type="dxa"/>
            <w:tcBorders>
              <w:top w:val="nil"/>
              <w:left w:val="nil"/>
              <w:bottom w:val="single" w:sz="4" w:space="0" w:color="auto"/>
              <w:right w:val="single" w:sz="4" w:space="0" w:color="auto"/>
            </w:tcBorders>
            <w:shd w:val="clear" w:color="auto" w:fill="auto"/>
            <w:noWrap/>
            <w:vAlign w:val="center"/>
            <w:hideMark/>
          </w:tcPr>
          <w:p w14:paraId="0354783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212</w:t>
            </w:r>
          </w:p>
        </w:tc>
        <w:tc>
          <w:tcPr>
            <w:tcW w:w="760" w:type="dxa"/>
            <w:tcBorders>
              <w:top w:val="nil"/>
              <w:left w:val="nil"/>
              <w:bottom w:val="single" w:sz="4" w:space="0" w:color="auto"/>
              <w:right w:val="single" w:sz="4" w:space="0" w:color="auto"/>
            </w:tcBorders>
            <w:shd w:val="clear" w:color="auto" w:fill="auto"/>
            <w:noWrap/>
            <w:vAlign w:val="center"/>
            <w:hideMark/>
          </w:tcPr>
          <w:p w14:paraId="5A94065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7BC3C17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760" w:type="dxa"/>
            <w:tcBorders>
              <w:top w:val="nil"/>
              <w:left w:val="nil"/>
              <w:bottom w:val="single" w:sz="4" w:space="0" w:color="auto"/>
              <w:right w:val="single" w:sz="4" w:space="0" w:color="auto"/>
            </w:tcBorders>
            <w:shd w:val="clear" w:color="auto" w:fill="auto"/>
            <w:noWrap/>
            <w:vAlign w:val="center"/>
            <w:hideMark/>
          </w:tcPr>
          <w:p w14:paraId="1FE3151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2019/11/12</w:t>
            </w:r>
          </w:p>
        </w:tc>
        <w:tc>
          <w:tcPr>
            <w:tcW w:w="960" w:type="dxa"/>
            <w:tcBorders>
              <w:top w:val="nil"/>
              <w:left w:val="nil"/>
              <w:bottom w:val="single" w:sz="4" w:space="0" w:color="auto"/>
              <w:right w:val="single" w:sz="4" w:space="0" w:color="auto"/>
            </w:tcBorders>
            <w:shd w:val="clear" w:color="auto" w:fill="auto"/>
            <w:noWrap/>
            <w:vAlign w:val="center"/>
            <w:hideMark/>
          </w:tcPr>
          <w:p w14:paraId="65AC887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2020/06/12</w:t>
            </w:r>
          </w:p>
        </w:tc>
        <w:tc>
          <w:tcPr>
            <w:tcW w:w="1540" w:type="dxa"/>
            <w:tcBorders>
              <w:top w:val="nil"/>
              <w:left w:val="nil"/>
              <w:bottom w:val="single" w:sz="4" w:space="0" w:color="auto"/>
              <w:right w:val="single" w:sz="4" w:space="0" w:color="auto"/>
            </w:tcBorders>
            <w:shd w:val="clear" w:color="auto" w:fill="auto"/>
            <w:noWrap/>
            <w:vAlign w:val="center"/>
            <w:hideMark/>
          </w:tcPr>
          <w:p w14:paraId="26FD16A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3.638.579.299 </w:t>
            </w:r>
          </w:p>
        </w:tc>
      </w:tr>
      <w:tr w:rsidR="00826439" w:rsidRPr="00826439" w14:paraId="35E1494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36DDD0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91</w:t>
            </w:r>
          </w:p>
        </w:tc>
        <w:tc>
          <w:tcPr>
            <w:tcW w:w="1160" w:type="dxa"/>
            <w:tcBorders>
              <w:top w:val="nil"/>
              <w:left w:val="nil"/>
              <w:bottom w:val="single" w:sz="4" w:space="0" w:color="auto"/>
              <w:right w:val="single" w:sz="4" w:space="0" w:color="auto"/>
            </w:tcBorders>
            <w:shd w:val="clear" w:color="auto" w:fill="auto"/>
            <w:noWrap/>
            <w:vAlign w:val="center"/>
            <w:hideMark/>
          </w:tcPr>
          <w:p w14:paraId="58C6629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4DC1021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3.343.250.858 </w:t>
            </w:r>
          </w:p>
        </w:tc>
        <w:tc>
          <w:tcPr>
            <w:tcW w:w="640" w:type="dxa"/>
            <w:tcBorders>
              <w:top w:val="nil"/>
              <w:left w:val="nil"/>
              <w:bottom w:val="single" w:sz="4" w:space="0" w:color="auto"/>
              <w:right w:val="single" w:sz="4" w:space="0" w:color="auto"/>
            </w:tcBorders>
            <w:shd w:val="clear" w:color="auto" w:fill="auto"/>
            <w:noWrap/>
            <w:vAlign w:val="center"/>
            <w:hideMark/>
          </w:tcPr>
          <w:p w14:paraId="007AE26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139757</w:t>
            </w:r>
          </w:p>
        </w:tc>
        <w:tc>
          <w:tcPr>
            <w:tcW w:w="840" w:type="dxa"/>
            <w:tcBorders>
              <w:top w:val="nil"/>
              <w:left w:val="nil"/>
              <w:bottom w:val="single" w:sz="4" w:space="0" w:color="auto"/>
              <w:right w:val="single" w:sz="4" w:space="0" w:color="auto"/>
            </w:tcBorders>
            <w:shd w:val="clear" w:color="auto" w:fill="auto"/>
            <w:noWrap/>
            <w:vAlign w:val="center"/>
            <w:hideMark/>
          </w:tcPr>
          <w:p w14:paraId="054CA1C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67E600C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7DB93A0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5,04%</w:t>
            </w:r>
          </w:p>
        </w:tc>
        <w:tc>
          <w:tcPr>
            <w:tcW w:w="760" w:type="dxa"/>
            <w:tcBorders>
              <w:top w:val="nil"/>
              <w:left w:val="nil"/>
              <w:bottom w:val="single" w:sz="4" w:space="0" w:color="auto"/>
              <w:right w:val="single" w:sz="4" w:space="0" w:color="auto"/>
            </w:tcBorders>
            <w:shd w:val="clear" w:color="auto" w:fill="auto"/>
            <w:noWrap/>
            <w:vAlign w:val="center"/>
            <w:hideMark/>
          </w:tcPr>
          <w:p w14:paraId="45F3132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2019/12/17</w:t>
            </w:r>
          </w:p>
        </w:tc>
        <w:tc>
          <w:tcPr>
            <w:tcW w:w="960" w:type="dxa"/>
            <w:tcBorders>
              <w:top w:val="nil"/>
              <w:left w:val="nil"/>
              <w:bottom w:val="single" w:sz="4" w:space="0" w:color="auto"/>
              <w:right w:val="single" w:sz="4" w:space="0" w:color="auto"/>
            </w:tcBorders>
            <w:shd w:val="clear" w:color="auto" w:fill="auto"/>
            <w:noWrap/>
            <w:vAlign w:val="center"/>
            <w:hideMark/>
          </w:tcPr>
          <w:p w14:paraId="193384E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2020/06/17</w:t>
            </w:r>
          </w:p>
        </w:tc>
        <w:tc>
          <w:tcPr>
            <w:tcW w:w="1540" w:type="dxa"/>
            <w:tcBorders>
              <w:top w:val="nil"/>
              <w:left w:val="nil"/>
              <w:bottom w:val="single" w:sz="4" w:space="0" w:color="auto"/>
              <w:right w:val="single" w:sz="4" w:space="0" w:color="auto"/>
            </w:tcBorders>
            <w:shd w:val="clear" w:color="auto" w:fill="auto"/>
            <w:noWrap/>
            <w:vAlign w:val="center"/>
            <w:hideMark/>
          </w:tcPr>
          <w:p w14:paraId="687D9C4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3.349.653.168 </w:t>
            </w:r>
          </w:p>
        </w:tc>
      </w:tr>
      <w:tr w:rsidR="00826439" w:rsidRPr="00826439" w14:paraId="06FCEA1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EC406F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92</w:t>
            </w:r>
          </w:p>
        </w:tc>
        <w:tc>
          <w:tcPr>
            <w:tcW w:w="1160" w:type="dxa"/>
            <w:tcBorders>
              <w:top w:val="nil"/>
              <w:left w:val="nil"/>
              <w:bottom w:val="single" w:sz="4" w:space="0" w:color="auto"/>
              <w:right w:val="single" w:sz="4" w:space="0" w:color="auto"/>
            </w:tcBorders>
            <w:shd w:val="clear" w:color="auto" w:fill="auto"/>
            <w:noWrap/>
            <w:vAlign w:val="center"/>
            <w:hideMark/>
          </w:tcPr>
          <w:p w14:paraId="614B64E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246BD15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16.590.040.307 </w:t>
            </w:r>
          </w:p>
        </w:tc>
        <w:tc>
          <w:tcPr>
            <w:tcW w:w="640" w:type="dxa"/>
            <w:tcBorders>
              <w:top w:val="nil"/>
              <w:left w:val="nil"/>
              <w:bottom w:val="single" w:sz="4" w:space="0" w:color="auto"/>
              <w:right w:val="single" w:sz="4" w:space="0" w:color="auto"/>
            </w:tcBorders>
            <w:shd w:val="clear" w:color="auto" w:fill="auto"/>
            <w:noWrap/>
            <w:vAlign w:val="center"/>
            <w:hideMark/>
          </w:tcPr>
          <w:p w14:paraId="574A7FA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194519</w:t>
            </w:r>
          </w:p>
        </w:tc>
        <w:tc>
          <w:tcPr>
            <w:tcW w:w="840" w:type="dxa"/>
            <w:tcBorders>
              <w:top w:val="nil"/>
              <w:left w:val="nil"/>
              <w:bottom w:val="single" w:sz="4" w:space="0" w:color="auto"/>
              <w:right w:val="single" w:sz="4" w:space="0" w:color="auto"/>
            </w:tcBorders>
            <w:shd w:val="clear" w:color="auto" w:fill="auto"/>
            <w:noWrap/>
            <w:vAlign w:val="center"/>
            <w:hideMark/>
          </w:tcPr>
          <w:p w14:paraId="6010C27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7E027A3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4018A33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760" w:type="dxa"/>
            <w:tcBorders>
              <w:top w:val="nil"/>
              <w:left w:val="nil"/>
              <w:bottom w:val="single" w:sz="4" w:space="0" w:color="auto"/>
              <w:right w:val="single" w:sz="4" w:space="0" w:color="auto"/>
            </w:tcBorders>
            <w:shd w:val="clear" w:color="auto" w:fill="auto"/>
            <w:noWrap/>
            <w:vAlign w:val="center"/>
            <w:hideMark/>
          </w:tcPr>
          <w:p w14:paraId="0C3B722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2019/11/22</w:t>
            </w:r>
          </w:p>
        </w:tc>
        <w:tc>
          <w:tcPr>
            <w:tcW w:w="960" w:type="dxa"/>
            <w:tcBorders>
              <w:top w:val="nil"/>
              <w:left w:val="nil"/>
              <w:bottom w:val="single" w:sz="4" w:space="0" w:color="auto"/>
              <w:right w:val="single" w:sz="4" w:space="0" w:color="auto"/>
            </w:tcBorders>
            <w:shd w:val="clear" w:color="auto" w:fill="auto"/>
            <w:noWrap/>
            <w:vAlign w:val="center"/>
            <w:hideMark/>
          </w:tcPr>
          <w:p w14:paraId="5F96A92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2020/06/22</w:t>
            </w:r>
          </w:p>
        </w:tc>
        <w:tc>
          <w:tcPr>
            <w:tcW w:w="1540" w:type="dxa"/>
            <w:tcBorders>
              <w:top w:val="nil"/>
              <w:left w:val="nil"/>
              <w:bottom w:val="single" w:sz="4" w:space="0" w:color="auto"/>
              <w:right w:val="single" w:sz="4" w:space="0" w:color="auto"/>
            </w:tcBorders>
            <w:shd w:val="clear" w:color="auto" w:fill="auto"/>
            <w:noWrap/>
            <w:vAlign w:val="center"/>
            <w:hideMark/>
          </w:tcPr>
          <w:p w14:paraId="31E3B0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16.677.979.484 </w:t>
            </w:r>
          </w:p>
        </w:tc>
      </w:tr>
      <w:tr w:rsidR="00826439" w:rsidRPr="00826439" w14:paraId="407F328C"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FAC10C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93</w:t>
            </w:r>
          </w:p>
        </w:tc>
        <w:tc>
          <w:tcPr>
            <w:tcW w:w="1160" w:type="dxa"/>
            <w:tcBorders>
              <w:top w:val="nil"/>
              <w:left w:val="nil"/>
              <w:bottom w:val="single" w:sz="4" w:space="0" w:color="auto"/>
              <w:right w:val="single" w:sz="4" w:space="0" w:color="auto"/>
            </w:tcBorders>
            <w:shd w:val="clear" w:color="auto" w:fill="auto"/>
            <w:noWrap/>
            <w:vAlign w:val="center"/>
            <w:hideMark/>
          </w:tcPr>
          <w:p w14:paraId="770D49A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53CFB34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7.123.042.045 </w:t>
            </w:r>
          </w:p>
        </w:tc>
        <w:tc>
          <w:tcPr>
            <w:tcW w:w="640" w:type="dxa"/>
            <w:tcBorders>
              <w:top w:val="nil"/>
              <w:left w:val="nil"/>
              <w:bottom w:val="single" w:sz="4" w:space="0" w:color="auto"/>
              <w:right w:val="single" w:sz="4" w:space="0" w:color="auto"/>
            </w:tcBorders>
            <w:shd w:val="clear" w:color="auto" w:fill="auto"/>
            <w:noWrap/>
            <w:vAlign w:val="center"/>
            <w:hideMark/>
          </w:tcPr>
          <w:p w14:paraId="621DB7B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194506</w:t>
            </w:r>
          </w:p>
        </w:tc>
        <w:tc>
          <w:tcPr>
            <w:tcW w:w="840" w:type="dxa"/>
            <w:tcBorders>
              <w:top w:val="nil"/>
              <w:left w:val="nil"/>
              <w:bottom w:val="single" w:sz="4" w:space="0" w:color="auto"/>
              <w:right w:val="single" w:sz="4" w:space="0" w:color="auto"/>
            </w:tcBorders>
            <w:shd w:val="clear" w:color="auto" w:fill="auto"/>
            <w:noWrap/>
            <w:vAlign w:val="center"/>
            <w:hideMark/>
          </w:tcPr>
          <w:p w14:paraId="291E745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1061638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03330D0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760" w:type="dxa"/>
            <w:tcBorders>
              <w:top w:val="nil"/>
              <w:left w:val="nil"/>
              <w:bottom w:val="single" w:sz="4" w:space="0" w:color="auto"/>
              <w:right w:val="single" w:sz="4" w:space="0" w:color="auto"/>
            </w:tcBorders>
            <w:shd w:val="clear" w:color="auto" w:fill="auto"/>
            <w:noWrap/>
            <w:vAlign w:val="center"/>
            <w:hideMark/>
          </w:tcPr>
          <w:p w14:paraId="5888869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2019/11/22</w:t>
            </w:r>
          </w:p>
        </w:tc>
        <w:tc>
          <w:tcPr>
            <w:tcW w:w="960" w:type="dxa"/>
            <w:tcBorders>
              <w:top w:val="nil"/>
              <w:left w:val="nil"/>
              <w:bottom w:val="single" w:sz="4" w:space="0" w:color="auto"/>
              <w:right w:val="single" w:sz="4" w:space="0" w:color="auto"/>
            </w:tcBorders>
            <w:shd w:val="clear" w:color="auto" w:fill="auto"/>
            <w:noWrap/>
            <w:vAlign w:val="center"/>
            <w:hideMark/>
          </w:tcPr>
          <w:p w14:paraId="08A0F52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2020/06/22</w:t>
            </w:r>
          </w:p>
        </w:tc>
        <w:tc>
          <w:tcPr>
            <w:tcW w:w="1540" w:type="dxa"/>
            <w:tcBorders>
              <w:top w:val="nil"/>
              <w:left w:val="nil"/>
              <w:bottom w:val="single" w:sz="4" w:space="0" w:color="auto"/>
              <w:right w:val="single" w:sz="4" w:space="0" w:color="auto"/>
            </w:tcBorders>
            <w:shd w:val="clear" w:color="auto" w:fill="auto"/>
            <w:noWrap/>
            <w:vAlign w:val="center"/>
            <w:hideMark/>
          </w:tcPr>
          <w:p w14:paraId="21EA9C6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7.160.434.144 </w:t>
            </w:r>
          </w:p>
        </w:tc>
      </w:tr>
      <w:tr w:rsidR="00826439" w:rsidRPr="00826439" w14:paraId="652B01D2"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AC30CDC"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94</w:t>
            </w:r>
          </w:p>
        </w:tc>
        <w:tc>
          <w:tcPr>
            <w:tcW w:w="1160" w:type="dxa"/>
            <w:tcBorders>
              <w:top w:val="nil"/>
              <w:left w:val="nil"/>
              <w:bottom w:val="single" w:sz="4" w:space="0" w:color="auto"/>
              <w:right w:val="single" w:sz="4" w:space="0" w:color="auto"/>
            </w:tcBorders>
            <w:shd w:val="clear" w:color="auto" w:fill="auto"/>
            <w:noWrap/>
            <w:vAlign w:val="center"/>
            <w:hideMark/>
          </w:tcPr>
          <w:p w14:paraId="57D1324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0F81DBC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6.531.048.190 </w:t>
            </w:r>
          </w:p>
        </w:tc>
        <w:tc>
          <w:tcPr>
            <w:tcW w:w="640" w:type="dxa"/>
            <w:tcBorders>
              <w:top w:val="nil"/>
              <w:left w:val="nil"/>
              <w:bottom w:val="single" w:sz="4" w:space="0" w:color="auto"/>
              <w:right w:val="single" w:sz="4" w:space="0" w:color="auto"/>
            </w:tcBorders>
            <w:shd w:val="clear" w:color="auto" w:fill="auto"/>
            <w:noWrap/>
            <w:vAlign w:val="center"/>
            <w:hideMark/>
          </w:tcPr>
          <w:p w14:paraId="03D843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138487</w:t>
            </w:r>
          </w:p>
        </w:tc>
        <w:tc>
          <w:tcPr>
            <w:tcW w:w="840" w:type="dxa"/>
            <w:tcBorders>
              <w:top w:val="nil"/>
              <w:left w:val="nil"/>
              <w:bottom w:val="single" w:sz="4" w:space="0" w:color="auto"/>
              <w:right w:val="single" w:sz="4" w:space="0" w:color="auto"/>
            </w:tcBorders>
            <w:shd w:val="clear" w:color="auto" w:fill="auto"/>
            <w:noWrap/>
            <w:vAlign w:val="center"/>
            <w:hideMark/>
          </w:tcPr>
          <w:p w14:paraId="1A9F449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6B169A0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5D2034E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379AF9B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2019/11/25</w:t>
            </w:r>
          </w:p>
        </w:tc>
        <w:tc>
          <w:tcPr>
            <w:tcW w:w="960" w:type="dxa"/>
            <w:tcBorders>
              <w:top w:val="nil"/>
              <w:left w:val="nil"/>
              <w:bottom w:val="single" w:sz="4" w:space="0" w:color="auto"/>
              <w:right w:val="single" w:sz="4" w:space="0" w:color="auto"/>
            </w:tcBorders>
            <w:shd w:val="clear" w:color="auto" w:fill="auto"/>
            <w:noWrap/>
            <w:vAlign w:val="center"/>
            <w:hideMark/>
          </w:tcPr>
          <w:p w14:paraId="4F6A628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2020/06/23</w:t>
            </w:r>
          </w:p>
        </w:tc>
        <w:tc>
          <w:tcPr>
            <w:tcW w:w="1540" w:type="dxa"/>
            <w:tcBorders>
              <w:top w:val="nil"/>
              <w:left w:val="nil"/>
              <w:bottom w:val="single" w:sz="4" w:space="0" w:color="auto"/>
              <w:right w:val="single" w:sz="4" w:space="0" w:color="auto"/>
            </w:tcBorders>
            <w:shd w:val="clear" w:color="auto" w:fill="auto"/>
            <w:noWrap/>
            <w:vAlign w:val="center"/>
            <w:hideMark/>
          </w:tcPr>
          <w:p w14:paraId="3F52C3B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6.562.244.471 </w:t>
            </w:r>
          </w:p>
        </w:tc>
      </w:tr>
      <w:tr w:rsidR="00826439" w:rsidRPr="00826439" w14:paraId="587E5FB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DF1B3ED"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95</w:t>
            </w:r>
          </w:p>
        </w:tc>
        <w:tc>
          <w:tcPr>
            <w:tcW w:w="1160" w:type="dxa"/>
            <w:tcBorders>
              <w:top w:val="nil"/>
              <w:left w:val="nil"/>
              <w:bottom w:val="single" w:sz="4" w:space="0" w:color="auto"/>
              <w:right w:val="single" w:sz="4" w:space="0" w:color="auto"/>
            </w:tcBorders>
            <w:shd w:val="clear" w:color="auto" w:fill="auto"/>
            <w:noWrap/>
            <w:vAlign w:val="center"/>
            <w:hideMark/>
          </w:tcPr>
          <w:p w14:paraId="7C904E6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471BE3C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5.492.310.386 </w:t>
            </w:r>
          </w:p>
        </w:tc>
        <w:tc>
          <w:tcPr>
            <w:tcW w:w="640" w:type="dxa"/>
            <w:tcBorders>
              <w:top w:val="nil"/>
              <w:left w:val="nil"/>
              <w:bottom w:val="single" w:sz="4" w:space="0" w:color="auto"/>
              <w:right w:val="single" w:sz="4" w:space="0" w:color="auto"/>
            </w:tcBorders>
            <w:shd w:val="clear" w:color="auto" w:fill="auto"/>
            <w:noWrap/>
            <w:vAlign w:val="center"/>
            <w:hideMark/>
          </w:tcPr>
          <w:p w14:paraId="13FE7C4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193019</w:t>
            </w:r>
          </w:p>
        </w:tc>
        <w:tc>
          <w:tcPr>
            <w:tcW w:w="840" w:type="dxa"/>
            <w:tcBorders>
              <w:top w:val="nil"/>
              <w:left w:val="nil"/>
              <w:bottom w:val="single" w:sz="4" w:space="0" w:color="auto"/>
              <w:right w:val="single" w:sz="4" w:space="0" w:color="auto"/>
            </w:tcBorders>
            <w:shd w:val="clear" w:color="auto" w:fill="auto"/>
            <w:noWrap/>
            <w:vAlign w:val="center"/>
            <w:hideMark/>
          </w:tcPr>
          <w:p w14:paraId="24F3472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214</w:t>
            </w:r>
          </w:p>
        </w:tc>
        <w:tc>
          <w:tcPr>
            <w:tcW w:w="760" w:type="dxa"/>
            <w:tcBorders>
              <w:top w:val="nil"/>
              <w:left w:val="nil"/>
              <w:bottom w:val="single" w:sz="4" w:space="0" w:color="auto"/>
              <w:right w:val="single" w:sz="4" w:space="0" w:color="auto"/>
            </w:tcBorders>
            <w:shd w:val="clear" w:color="auto" w:fill="auto"/>
            <w:noWrap/>
            <w:vAlign w:val="center"/>
            <w:hideMark/>
          </w:tcPr>
          <w:p w14:paraId="23FC767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27594C8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760" w:type="dxa"/>
            <w:tcBorders>
              <w:top w:val="nil"/>
              <w:left w:val="nil"/>
              <w:bottom w:val="single" w:sz="4" w:space="0" w:color="auto"/>
              <w:right w:val="single" w:sz="4" w:space="0" w:color="auto"/>
            </w:tcBorders>
            <w:shd w:val="clear" w:color="auto" w:fill="auto"/>
            <w:noWrap/>
            <w:vAlign w:val="center"/>
            <w:hideMark/>
          </w:tcPr>
          <w:p w14:paraId="27DACC9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2019/11/21</w:t>
            </w:r>
          </w:p>
        </w:tc>
        <w:tc>
          <w:tcPr>
            <w:tcW w:w="960" w:type="dxa"/>
            <w:tcBorders>
              <w:top w:val="nil"/>
              <w:left w:val="nil"/>
              <w:bottom w:val="single" w:sz="4" w:space="0" w:color="auto"/>
              <w:right w:val="single" w:sz="4" w:space="0" w:color="auto"/>
            </w:tcBorders>
            <w:shd w:val="clear" w:color="auto" w:fill="auto"/>
            <w:noWrap/>
            <w:vAlign w:val="center"/>
            <w:hideMark/>
          </w:tcPr>
          <w:p w14:paraId="0FE6762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2020/06/23</w:t>
            </w:r>
          </w:p>
        </w:tc>
        <w:tc>
          <w:tcPr>
            <w:tcW w:w="1540" w:type="dxa"/>
            <w:tcBorders>
              <w:top w:val="nil"/>
              <w:left w:val="nil"/>
              <w:bottom w:val="single" w:sz="4" w:space="0" w:color="auto"/>
              <w:right w:val="single" w:sz="4" w:space="0" w:color="auto"/>
            </w:tcBorders>
            <w:shd w:val="clear" w:color="auto" w:fill="auto"/>
            <w:noWrap/>
            <w:vAlign w:val="center"/>
            <w:hideMark/>
          </w:tcPr>
          <w:p w14:paraId="174F4E5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5.521.467.684 </w:t>
            </w:r>
          </w:p>
        </w:tc>
      </w:tr>
      <w:tr w:rsidR="00826439" w:rsidRPr="00826439" w14:paraId="2D20FB22"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329C03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96</w:t>
            </w:r>
          </w:p>
        </w:tc>
        <w:tc>
          <w:tcPr>
            <w:tcW w:w="1160" w:type="dxa"/>
            <w:tcBorders>
              <w:top w:val="nil"/>
              <w:left w:val="nil"/>
              <w:bottom w:val="single" w:sz="4" w:space="0" w:color="auto"/>
              <w:right w:val="single" w:sz="4" w:space="0" w:color="auto"/>
            </w:tcBorders>
            <w:shd w:val="clear" w:color="auto" w:fill="auto"/>
            <w:noWrap/>
            <w:vAlign w:val="center"/>
            <w:hideMark/>
          </w:tcPr>
          <w:p w14:paraId="73C02A03"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2E18B71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10.000.000.000 </w:t>
            </w:r>
          </w:p>
        </w:tc>
        <w:tc>
          <w:tcPr>
            <w:tcW w:w="640" w:type="dxa"/>
            <w:tcBorders>
              <w:top w:val="nil"/>
              <w:left w:val="nil"/>
              <w:bottom w:val="single" w:sz="4" w:space="0" w:color="auto"/>
              <w:right w:val="single" w:sz="4" w:space="0" w:color="auto"/>
            </w:tcBorders>
            <w:shd w:val="clear" w:color="auto" w:fill="auto"/>
            <w:noWrap/>
            <w:vAlign w:val="center"/>
            <w:hideMark/>
          </w:tcPr>
          <w:p w14:paraId="0534E3D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136147</w:t>
            </w:r>
          </w:p>
        </w:tc>
        <w:tc>
          <w:tcPr>
            <w:tcW w:w="840" w:type="dxa"/>
            <w:tcBorders>
              <w:top w:val="nil"/>
              <w:left w:val="nil"/>
              <w:bottom w:val="single" w:sz="4" w:space="0" w:color="auto"/>
              <w:right w:val="single" w:sz="4" w:space="0" w:color="auto"/>
            </w:tcBorders>
            <w:shd w:val="clear" w:color="auto" w:fill="auto"/>
            <w:noWrap/>
            <w:vAlign w:val="center"/>
            <w:hideMark/>
          </w:tcPr>
          <w:p w14:paraId="5914A96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242</w:t>
            </w:r>
          </w:p>
        </w:tc>
        <w:tc>
          <w:tcPr>
            <w:tcW w:w="760" w:type="dxa"/>
            <w:tcBorders>
              <w:top w:val="nil"/>
              <w:left w:val="nil"/>
              <w:bottom w:val="single" w:sz="4" w:space="0" w:color="auto"/>
              <w:right w:val="single" w:sz="4" w:space="0" w:color="auto"/>
            </w:tcBorders>
            <w:shd w:val="clear" w:color="auto" w:fill="auto"/>
            <w:noWrap/>
            <w:vAlign w:val="center"/>
            <w:hideMark/>
          </w:tcPr>
          <w:p w14:paraId="08B4DF5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4,85%</w:t>
            </w:r>
          </w:p>
        </w:tc>
        <w:tc>
          <w:tcPr>
            <w:tcW w:w="820" w:type="dxa"/>
            <w:tcBorders>
              <w:top w:val="nil"/>
              <w:left w:val="nil"/>
              <w:bottom w:val="single" w:sz="4" w:space="0" w:color="auto"/>
              <w:right w:val="single" w:sz="4" w:space="0" w:color="auto"/>
            </w:tcBorders>
            <w:shd w:val="clear" w:color="auto" w:fill="auto"/>
            <w:noWrap/>
            <w:vAlign w:val="center"/>
            <w:hideMark/>
          </w:tcPr>
          <w:p w14:paraId="1DE9DD09"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4,81%</w:t>
            </w:r>
          </w:p>
        </w:tc>
        <w:tc>
          <w:tcPr>
            <w:tcW w:w="760" w:type="dxa"/>
            <w:tcBorders>
              <w:top w:val="nil"/>
              <w:left w:val="nil"/>
              <w:bottom w:val="single" w:sz="4" w:space="0" w:color="auto"/>
              <w:right w:val="single" w:sz="4" w:space="0" w:color="auto"/>
            </w:tcBorders>
            <w:shd w:val="clear" w:color="auto" w:fill="auto"/>
            <w:noWrap/>
            <w:vAlign w:val="center"/>
            <w:hideMark/>
          </w:tcPr>
          <w:p w14:paraId="2FD16B7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2019/10/21</w:t>
            </w:r>
          </w:p>
        </w:tc>
        <w:tc>
          <w:tcPr>
            <w:tcW w:w="960" w:type="dxa"/>
            <w:tcBorders>
              <w:top w:val="nil"/>
              <w:left w:val="nil"/>
              <w:bottom w:val="single" w:sz="4" w:space="0" w:color="auto"/>
              <w:right w:val="single" w:sz="4" w:space="0" w:color="auto"/>
            </w:tcBorders>
            <w:shd w:val="clear" w:color="auto" w:fill="auto"/>
            <w:noWrap/>
            <w:vAlign w:val="center"/>
            <w:hideMark/>
          </w:tcPr>
          <w:p w14:paraId="1014EC8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2020/06/23</w:t>
            </w:r>
          </w:p>
        </w:tc>
        <w:tc>
          <w:tcPr>
            <w:tcW w:w="1540" w:type="dxa"/>
            <w:tcBorders>
              <w:top w:val="nil"/>
              <w:left w:val="nil"/>
              <w:bottom w:val="single" w:sz="4" w:space="0" w:color="auto"/>
              <w:right w:val="single" w:sz="4" w:space="0" w:color="auto"/>
            </w:tcBorders>
            <w:shd w:val="clear" w:color="auto" w:fill="auto"/>
            <w:noWrap/>
            <w:vAlign w:val="center"/>
            <w:hideMark/>
          </w:tcPr>
          <w:p w14:paraId="0DC3D72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10.092.689.627 </w:t>
            </w:r>
          </w:p>
        </w:tc>
      </w:tr>
      <w:tr w:rsidR="00826439" w:rsidRPr="00826439" w14:paraId="3131D14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54F21A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97</w:t>
            </w:r>
          </w:p>
        </w:tc>
        <w:tc>
          <w:tcPr>
            <w:tcW w:w="1160" w:type="dxa"/>
            <w:tcBorders>
              <w:top w:val="nil"/>
              <w:left w:val="nil"/>
              <w:bottom w:val="single" w:sz="4" w:space="0" w:color="auto"/>
              <w:right w:val="single" w:sz="4" w:space="0" w:color="auto"/>
            </w:tcBorders>
            <w:shd w:val="clear" w:color="auto" w:fill="auto"/>
            <w:noWrap/>
            <w:vAlign w:val="center"/>
            <w:hideMark/>
          </w:tcPr>
          <w:p w14:paraId="27CA65B3" w14:textId="77777777" w:rsidR="00826439" w:rsidRPr="00826439" w:rsidRDefault="00826439" w:rsidP="00AB4D08">
            <w:pPr>
              <w:spacing w:after="0" w:line="240" w:lineRule="auto"/>
              <w:contextualSpacing/>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1AAC44B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2.383.644.697 </w:t>
            </w:r>
          </w:p>
        </w:tc>
        <w:tc>
          <w:tcPr>
            <w:tcW w:w="640" w:type="dxa"/>
            <w:tcBorders>
              <w:top w:val="nil"/>
              <w:left w:val="nil"/>
              <w:bottom w:val="single" w:sz="4" w:space="0" w:color="auto"/>
              <w:right w:val="single" w:sz="4" w:space="0" w:color="auto"/>
            </w:tcBorders>
            <w:shd w:val="clear" w:color="auto" w:fill="auto"/>
            <w:noWrap/>
            <w:vAlign w:val="center"/>
            <w:hideMark/>
          </w:tcPr>
          <w:p w14:paraId="5DD40AC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157441</w:t>
            </w:r>
          </w:p>
        </w:tc>
        <w:tc>
          <w:tcPr>
            <w:tcW w:w="840" w:type="dxa"/>
            <w:tcBorders>
              <w:top w:val="nil"/>
              <w:left w:val="nil"/>
              <w:bottom w:val="single" w:sz="4" w:space="0" w:color="auto"/>
              <w:right w:val="single" w:sz="4" w:space="0" w:color="auto"/>
            </w:tcBorders>
            <w:shd w:val="clear" w:color="auto" w:fill="auto"/>
            <w:noWrap/>
            <w:vAlign w:val="center"/>
            <w:hideMark/>
          </w:tcPr>
          <w:p w14:paraId="2AAE2AE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273</w:t>
            </w:r>
          </w:p>
        </w:tc>
        <w:tc>
          <w:tcPr>
            <w:tcW w:w="760" w:type="dxa"/>
            <w:tcBorders>
              <w:top w:val="nil"/>
              <w:left w:val="nil"/>
              <w:bottom w:val="single" w:sz="4" w:space="0" w:color="auto"/>
              <w:right w:val="single" w:sz="4" w:space="0" w:color="auto"/>
            </w:tcBorders>
            <w:shd w:val="clear" w:color="auto" w:fill="auto"/>
            <w:noWrap/>
            <w:vAlign w:val="center"/>
            <w:hideMark/>
          </w:tcPr>
          <w:p w14:paraId="76B13CC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087696F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5,07%</w:t>
            </w:r>
          </w:p>
        </w:tc>
        <w:tc>
          <w:tcPr>
            <w:tcW w:w="760" w:type="dxa"/>
            <w:tcBorders>
              <w:top w:val="nil"/>
              <w:left w:val="nil"/>
              <w:bottom w:val="single" w:sz="4" w:space="0" w:color="auto"/>
              <w:right w:val="single" w:sz="4" w:space="0" w:color="auto"/>
            </w:tcBorders>
            <w:shd w:val="clear" w:color="auto" w:fill="auto"/>
            <w:noWrap/>
            <w:vAlign w:val="center"/>
            <w:hideMark/>
          </w:tcPr>
          <w:p w14:paraId="488A130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2019/09/25</w:t>
            </w:r>
          </w:p>
        </w:tc>
        <w:tc>
          <w:tcPr>
            <w:tcW w:w="960" w:type="dxa"/>
            <w:tcBorders>
              <w:top w:val="nil"/>
              <w:left w:val="nil"/>
              <w:bottom w:val="single" w:sz="4" w:space="0" w:color="auto"/>
              <w:right w:val="single" w:sz="4" w:space="0" w:color="auto"/>
            </w:tcBorders>
            <w:shd w:val="clear" w:color="auto" w:fill="auto"/>
            <w:noWrap/>
            <w:vAlign w:val="center"/>
            <w:hideMark/>
          </w:tcPr>
          <w:p w14:paraId="74093EE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2020/06/25</w:t>
            </w:r>
          </w:p>
        </w:tc>
        <w:tc>
          <w:tcPr>
            <w:tcW w:w="1540" w:type="dxa"/>
            <w:tcBorders>
              <w:top w:val="nil"/>
              <w:left w:val="nil"/>
              <w:bottom w:val="single" w:sz="4" w:space="0" w:color="auto"/>
              <w:right w:val="single" w:sz="4" w:space="0" w:color="auto"/>
            </w:tcBorders>
            <w:shd w:val="clear" w:color="auto" w:fill="auto"/>
            <w:noWrap/>
            <w:vAlign w:val="center"/>
            <w:hideMark/>
          </w:tcPr>
          <w:p w14:paraId="21BED65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2.415.363.608 </w:t>
            </w:r>
          </w:p>
        </w:tc>
      </w:tr>
      <w:tr w:rsidR="00826439" w:rsidRPr="00826439" w14:paraId="54A07E9D"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F35519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98</w:t>
            </w:r>
          </w:p>
        </w:tc>
        <w:tc>
          <w:tcPr>
            <w:tcW w:w="1160" w:type="dxa"/>
            <w:tcBorders>
              <w:top w:val="nil"/>
              <w:left w:val="nil"/>
              <w:bottom w:val="single" w:sz="4" w:space="0" w:color="auto"/>
              <w:right w:val="single" w:sz="4" w:space="0" w:color="auto"/>
            </w:tcBorders>
            <w:shd w:val="clear" w:color="auto" w:fill="auto"/>
            <w:noWrap/>
            <w:vAlign w:val="center"/>
            <w:hideMark/>
          </w:tcPr>
          <w:p w14:paraId="1B875FA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336C543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1.257.914.580 </w:t>
            </w:r>
          </w:p>
        </w:tc>
        <w:tc>
          <w:tcPr>
            <w:tcW w:w="640" w:type="dxa"/>
            <w:tcBorders>
              <w:top w:val="nil"/>
              <w:left w:val="nil"/>
              <w:bottom w:val="single" w:sz="4" w:space="0" w:color="auto"/>
              <w:right w:val="single" w:sz="4" w:space="0" w:color="auto"/>
            </w:tcBorders>
            <w:shd w:val="clear" w:color="auto" w:fill="auto"/>
            <w:noWrap/>
            <w:vAlign w:val="center"/>
            <w:hideMark/>
          </w:tcPr>
          <w:p w14:paraId="5DE6B83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138491</w:t>
            </w:r>
          </w:p>
        </w:tc>
        <w:tc>
          <w:tcPr>
            <w:tcW w:w="840" w:type="dxa"/>
            <w:tcBorders>
              <w:top w:val="nil"/>
              <w:left w:val="nil"/>
              <w:bottom w:val="single" w:sz="4" w:space="0" w:color="auto"/>
              <w:right w:val="single" w:sz="4" w:space="0" w:color="auto"/>
            </w:tcBorders>
            <w:shd w:val="clear" w:color="auto" w:fill="auto"/>
            <w:noWrap/>
            <w:vAlign w:val="center"/>
            <w:hideMark/>
          </w:tcPr>
          <w:p w14:paraId="7734E1D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180</w:t>
            </w:r>
          </w:p>
        </w:tc>
        <w:tc>
          <w:tcPr>
            <w:tcW w:w="760" w:type="dxa"/>
            <w:tcBorders>
              <w:top w:val="nil"/>
              <w:left w:val="nil"/>
              <w:bottom w:val="single" w:sz="4" w:space="0" w:color="auto"/>
              <w:right w:val="single" w:sz="4" w:space="0" w:color="auto"/>
            </w:tcBorders>
            <w:shd w:val="clear" w:color="auto" w:fill="auto"/>
            <w:noWrap/>
            <w:vAlign w:val="center"/>
            <w:hideMark/>
          </w:tcPr>
          <w:p w14:paraId="42C94EE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single" w:sz="4" w:space="0" w:color="auto"/>
              <w:right w:val="single" w:sz="4" w:space="0" w:color="auto"/>
            </w:tcBorders>
            <w:shd w:val="clear" w:color="auto" w:fill="auto"/>
            <w:noWrap/>
            <w:vAlign w:val="center"/>
            <w:hideMark/>
          </w:tcPr>
          <w:p w14:paraId="3FE58EC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4,89%</w:t>
            </w:r>
          </w:p>
        </w:tc>
        <w:tc>
          <w:tcPr>
            <w:tcW w:w="760" w:type="dxa"/>
            <w:tcBorders>
              <w:top w:val="nil"/>
              <w:left w:val="nil"/>
              <w:bottom w:val="single" w:sz="4" w:space="0" w:color="auto"/>
              <w:right w:val="single" w:sz="4" w:space="0" w:color="auto"/>
            </w:tcBorders>
            <w:shd w:val="clear" w:color="auto" w:fill="auto"/>
            <w:noWrap/>
            <w:vAlign w:val="center"/>
            <w:hideMark/>
          </w:tcPr>
          <w:p w14:paraId="64A3100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2019/11/26</w:t>
            </w:r>
          </w:p>
        </w:tc>
        <w:tc>
          <w:tcPr>
            <w:tcW w:w="960" w:type="dxa"/>
            <w:tcBorders>
              <w:top w:val="nil"/>
              <w:left w:val="nil"/>
              <w:bottom w:val="single" w:sz="4" w:space="0" w:color="auto"/>
              <w:right w:val="single" w:sz="4" w:space="0" w:color="auto"/>
            </w:tcBorders>
            <w:shd w:val="clear" w:color="auto" w:fill="auto"/>
            <w:noWrap/>
            <w:vAlign w:val="center"/>
            <w:hideMark/>
          </w:tcPr>
          <w:p w14:paraId="5EA9DA8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2020/06/26</w:t>
            </w:r>
          </w:p>
        </w:tc>
        <w:tc>
          <w:tcPr>
            <w:tcW w:w="1540" w:type="dxa"/>
            <w:tcBorders>
              <w:top w:val="nil"/>
              <w:left w:val="nil"/>
              <w:bottom w:val="single" w:sz="4" w:space="0" w:color="auto"/>
              <w:right w:val="single" w:sz="4" w:space="0" w:color="auto"/>
            </w:tcBorders>
            <w:shd w:val="clear" w:color="auto" w:fill="auto"/>
            <w:noWrap/>
            <w:vAlign w:val="center"/>
            <w:hideMark/>
          </w:tcPr>
          <w:p w14:paraId="3531DAB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1.263.804.316 </w:t>
            </w:r>
          </w:p>
        </w:tc>
      </w:tr>
      <w:tr w:rsidR="00826439" w:rsidRPr="00826439" w14:paraId="64E19C01"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C26289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99</w:t>
            </w:r>
          </w:p>
        </w:tc>
        <w:tc>
          <w:tcPr>
            <w:tcW w:w="1160" w:type="dxa"/>
            <w:tcBorders>
              <w:top w:val="nil"/>
              <w:left w:val="nil"/>
              <w:bottom w:val="single" w:sz="4" w:space="0" w:color="auto"/>
              <w:right w:val="single" w:sz="4" w:space="0" w:color="auto"/>
            </w:tcBorders>
            <w:shd w:val="clear" w:color="auto" w:fill="auto"/>
            <w:noWrap/>
            <w:vAlign w:val="center"/>
            <w:hideMark/>
          </w:tcPr>
          <w:p w14:paraId="4EF04E1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73EFF63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22.000.000.000 </w:t>
            </w:r>
          </w:p>
        </w:tc>
        <w:tc>
          <w:tcPr>
            <w:tcW w:w="640" w:type="dxa"/>
            <w:tcBorders>
              <w:top w:val="nil"/>
              <w:left w:val="nil"/>
              <w:bottom w:val="single" w:sz="4" w:space="0" w:color="auto"/>
              <w:right w:val="single" w:sz="4" w:space="0" w:color="auto"/>
            </w:tcBorders>
            <w:shd w:val="clear" w:color="auto" w:fill="auto"/>
            <w:noWrap/>
            <w:vAlign w:val="center"/>
            <w:hideMark/>
          </w:tcPr>
          <w:p w14:paraId="57C632A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138492</w:t>
            </w:r>
          </w:p>
        </w:tc>
        <w:tc>
          <w:tcPr>
            <w:tcW w:w="840" w:type="dxa"/>
            <w:tcBorders>
              <w:top w:val="nil"/>
              <w:left w:val="nil"/>
              <w:bottom w:val="single" w:sz="4" w:space="0" w:color="auto"/>
              <w:right w:val="single" w:sz="4" w:space="0" w:color="auto"/>
            </w:tcBorders>
            <w:shd w:val="clear" w:color="auto" w:fill="auto"/>
            <w:noWrap/>
            <w:vAlign w:val="center"/>
            <w:hideMark/>
          </w:tcPr>
          <w:p w14:paraId="6991852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0EAD551A"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5,00%</w:t>
            </w:r>
          </w:p>
        </w:tc>
        <w:tc>
          <w:tcPr>
            <w:tcW w:w="820" w:type="dxa"/>
            <w:tcBorders>
              <w:top w:val="nil"/>
              <w:left w:val="nil"/>
              <w:bottom w:val="single" w:sz="4" w:space="0" w:color="auto"/>
              <w:right w:val="single" w:sz="4" w:space="0" w:color="auto"/>
            </w:tcBorders>
            <w:shd w:val="clear" w:color="auto" w:fill="auto"/>
            <w:noWrap/>
            <w:vAlign w:val="center"/>
            <w:hideMark/>
          </w:tcPr>
          <w:p w14:paraId="2AA6819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760" w:type="dxa"/>
            <w:tcBorders>
              <w:top w:val="nil"/>
              <w:left w:val="nil"/>
              <w:bottom w:val="single" w:sz="4" w:space="0" w:color="auto"/>
              <w:right w:val="single" w:sz="4" w:space="0" w:color="auto"/>
            </w:tcBorders>
            <w:shd w:val="clear" w:color="auto" w:fill="auto"/>
            <w:noWrap/>
            <w:vAlign w:val="center"/>
            <w:hideMark/>
          </w:tcPr>
          <w:p w14:paraId="50C5573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2019/11/26</w:t>
            </w:r>
          </w:p>
        </w:tc>
        <w:tc>
          <w:tcPr>
            <w:tcW w:w="960" w:type="dxa"/>
            <w:tcBorders>
              <w:top w:val="nil"/>
              <w:left w:val="nil"/>
              <w:bottom w:val="single" w:sz="4" w:space="0" w:color="auto"/>
              <w:right w:val="single" w:sz="4" w:space="0" w:color="auto"/>
            </w:tcBorders>
            <w:shd w:val="clear" w:color="auto" w:fill="auto"/>
            <w:noWrap/>
            <w:vAlign w:val="center"/>
            <w:hideMark/>
          </w:tcPr>
          <w:p w14:paraId="3DAFB40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2020/06/26</w:t>
            </w:r>
          </w:p>
        </w:tc>
        <w:tc>
          <w:tcPr>
            <w:tcW w:w="1540" w:type="dxa"/>
            <w:tcBorders>
              <w:top w:val="nil"/>
              <w:left w:val="nil"/>
              <w:bottom w:val="single" w:sz="4" w:space="0" w:color="auto"/>
              <w:right w:val="single" w:sz="4" w:space="0" w:color="auto"/>
            </w:tcBorders>
            <w:shd w:val="clear" w:color="auto" w:fill="auto"/>
            <w:noWrap/>
            <w:vAlign w:val="center"/>
            <w:hideMark/>
          </w:tcPr>
          <w:p w14:paraId="1899F1E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22.103.615.266 </w:t>
            </w:r>
          </w:p>
        </w:tc>
      </w:tr>
      <w:tr w:rsidR="00826439" w:rsidRPr="00826439" w14:paraId="2166A1BE"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E2ACCF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100</w:t>
            </w:r>
          </w:p>
        </w:tc>
        <w:tc>
          <w:tcPr>
            <w:tcW w:w="1160" w:type="dxa"/>
            <w:tcBorders>
              <w:top w:val="nil"/>
              <w:left w:val="nil"/>
              <w:bottom w:val="single" w:sz="4" w:space="0" w:color="auto"/>
              <w:right w:val="single" w:sz="4" w:space="0" w:color="auto"/>
            </w:tcBorders>
            <w:shd w:val="clear" w:color="auto" w:fill="auto"/>
            <w:noWrap/>
            <w:vAlign w:val="center"/>
            <w:hideMark/>
          </w:tcPr>
          <w:p w14:paraId="0B05400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6376E7E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3.214.602.094 </w:t>
            </w:r>
          </w:p>
        </w:tc>
        <w:tc>
          <w:tcPr>
            <w:tcW w:w="640" w:type="dxa"/>
            <w:tcBorders>
              <w:top w:val="nil"/>
              <w:left w:val="nil"/>
              <w:bottom w:val="single" w:sz="4" w:space="0" w:color="auto"/>
              <w:right w:val="single" w:sz="4" w:space="0" w:color="auto"/>
            </w:tcBorders>
            <w:shd w:val="clear" w:color="auto" w:fill="auto"/>
            <w:noWrap/>
            <w:vAlign w:val="center"/>
            <w:hideMark/>
          </w:tcPr>
          <w:p w14:paraId="63AC213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203084</w:t>
            </w:r>
          </w:p>
        </w:tc>
        <w:tc>
          <w:tcPr>
            <w:tcW w:w="840" w:type="dxa"/>
            <w:tcBorders>
              <w:top w:val="nil"/>
              <w:left w:val="nil"/>
              <w:bottom w:val="single" w:sz="4" w:space="0" w:color="auto"/>
              <w:right w:val="single" w:sz="4" w:space="0" w:color="auto"/>
            </w:tcBorders>
            <w:shd w:val="clear" w:color="auto" w:fill="auto"/>
            <w:noWrap/>
            <w:vAlign w:val="center"/>
            <w:hideMark/>
          </w:tcPr>
          <w:p w14:paraId="5D83756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173BC743"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5,12%</w:t>
            </w:r>
          </w:p>
        </w:tc>
        <w:tc>
          <w:tcPr>
            <w:tcW w:w="820" w:type="dxa"/>
            <w:tcBorders>
              <w:top w:val="nil"/>
              <w:left w:val="nil"/>
              <w:bottom w:val="single" w:sz="4" w:space="0" w:color="auto"/>
              <w:right w:val="single" w:sz="4" w:space="0" w:color="auto"/>
            </w:tcBorders>
            <w:shd w:val="clear" w:color="auto" w:fill="auto"/>
            <w:noWrap/>
            <w:vAlign w:val="center"/>
            <w:hideMark/>
          </w:tcPr>
          <w:p w14:paraId="6B581CD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5,07%</w:t>
            </w:r>
          </w:p>
        </w:tc>
        <w:tc>
          <w:tcPr>
            <w:tcW w:w="760" w:type="dxa"/>
            <w:tcBorders>
              <w:top w:val="nil"/>
              <w:left w:val="nil"/>
              <w:bottom w:val="single" w:sz="4" w:space="0" w:color="auto"/>
              <w:right w:val="single" w:sz="4" w:space="0" w:color="auto"/>
            </w:tcBorders>
            <w:shd w:val="clear" w:color="auto" w:fill="auto"/>
            <w:noWrap/>
            <w:vAlign w:val="center"/>
            <w:hideMark/>
          </w:tcPr>
          <w:p w14:paraId="2E56891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2019/12/05</w:t>
            </w:r>
          </w:p>
        </w:tc>
        <w:tc>
          <w:tcPr>
            <w:tcW w:w="960" w:type="dxa"/>
            <w:tcBorders>
              <w:top w:val="nil"/>
              <w:left w:val="nil"/>
              <w:bottom w:val="single" w:sz="4" w:space="0" w:color="auto"/>
              <w:right w:val="single" w:sz="4" w:space="0" w:color="auto"/>
            </w:tcBorders>
            <w:shd w:val="clear" w:color="auto" w:fill="auto"/>
            <w:noWrap/>
            <w:vAlign w:val="center"/>
            <w:hideMark/>
          </w:tcPr>
          <w:p w14:paraId="48D536D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2020/07/03</w:t>
            </w:r>
          </w:p>
        </w:tc>
        <w:tc>
          <w:tcPr>
            <w:tcW w:w="1540" w:type="dxa"/>
            <w:tcBorders>
              <w:top w:val="nil"/>
              <w:left w:val="nil"/>
              <w:bottom w:val="single" w:sz="4" w:space="0" w:color="auto"/>
              <w:right w:val="single" w:sz="4" w:space="0" w:color="auto"/>
            </w:tcBorders>
            <w:shd w:val="clear" w:color="auto" w:fill="auto"/>
            <w:noWrap/>
            <w:vAlign w:val="center"/>
            <w:hideMark/>
          </w:tcPr>
          <w:p w14:paraId="36A635B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3.226.056.339 </w:t>
            </w:r>
          </w:p>
        </w:tc>
      </w:tr>
      <w:tr w:rsidR="00826439" w:rsidRPr="00826439" w14:paraId="2031A6B0"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957B2B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101</w:t>
            </w:r>
          </w:p>
        </w:tc>
        <w:tc>
          <w:tcPr>
            <w:tcW w:w="1160" w:type="dxa"/>
            <w:tcBorders>
              <w:top w:val="nil"/>
              <w:left w:val="nil"/>
              <w:bottom w:val="single" w:sz="4" w:space="0" w:color="auto"/>
              <w:right w:val="single" w:sz="4" w:space="0" w:color="auto"/>
            </w:tcBorders>
            <w:shd w:val="clear" w:color="auto" w:fill="auto"/>
            <w:noWrap/>
            <w:vAlign w:val="center"/>
            <w:hideMark/>
          </w:tcPr>
          <w:p w14:paraId="346FF54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4621030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12.797.089.430 </w:t>
            </w:r>
          </w:p>
        </w:tc>
        <w:tc>
          <w:tcPr>
            <w:tcW w:w="640" w:type="dxa"/>
            <w:tcBorders>
              <w:top w:val="nil"/>
              <w:left w:val="nil"/>
              <w:bottom w:val="single" w:sz="4" w:space="0" w:color="auto"/>
              <w:right w:val="single" w:sz="4" w:space="0" w:color="auto"/>
            </w:tcBorders>
            <w:shd w:val="clear" w:color="auto" w:fill="auto"/>
            <w:noWrap/>
            <w:vAlign w:val="center"/>
            <w:hideMark/>
          </w:tcPr>
          <w:p w14:paraId="7B7CF3E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203085</w:t>
            </w:r>
          </w:p>
        </w:tc>
        <w:tc>
          <w:tcPr>
            <w:tcW w:w="840" w:type="dxa"/>
            <w:tcBorders>
              <w:top w:val="nil"/>
              <w:left w:val="nil"/>
              <w:bottom w:val="single" w:sz="4" w:space="0" w:color="auto"/>
              <w:right w:val="single" w:sz="4" w:space="0" w:color="auto"/>
            </w:tcBorders>
            <w:shd w:val="clear" w:color="auto" w:fill="auto"/>
            <w:noWrap/>
            <w:vAlign w:val="center"/>
            <w:hideMark/>
          </w:tcPr>
          <w:p w14:paraId="03A6147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156C5647"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5,12%</w:t>
            </w:r>
          </w:p>
        </w:tc>
        <w:tc>
          <w:tcPr>
            <w:tcW w:w="820" w:type="dxa"/>
            <w:tcBorders>
              <w:top w:val="nil"/>
              <w:left w:val="nil"/>
              <w:bottom w:val="single" w:sz="4" w:space="0" w:color="auto"/>
              <w:right w:val="single" w:sz="4" w:space="0" w:color="auto"/>
            </w:tcBorders>
            <w:shd w:val="clear" w:color="auto" w:fill="auto"/>
            <w:noWrap/>
            <w:vAlign w:val="center"/>
            <w:hideMark/>
          </w:tcPr>
          <w:p w14:paraId="78369FF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5,07%</w:t>
            </w:r>
          </w:p>
        </w:tc>
        <w:tc>
          <w:tcPr>
            <w:tcW w:w="760" w:type="dxa"/>
            <w:tcBorders>
              <w:top w:val="nil"/>
              <w:left w:val="nil"/>
              <w:bottom w:val="single" w:sz="4" w:space="0" w:color="auto"/>
              <w:right w:val="single" w:sz="4" w:space="0" w:color="auto"/>
            </w:tcBorders>
            <w:shd w:val="clear" w:color="auto" w:fill="auto"/>
            <w:noWrap/>
            <w:vAlign w:val="center"/>
            <w:hideMark/>
          </w:tcPr>
          <w:p w14:paraId="62A4573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2019/12/05</w:t>
            </w:r>
          </w:p>
        </w:tc>
        <w:tc>
          <w:tcPr>
            <w:tcW w:w="960" w:type="dxa"/>
            <w:tcBorders>
              <w:top w:val="nil"/>
              <w:left w:val="nil"/>
              <w:bottom w:val="single" w:sz="4" w:space="0" w:color="auto"/>
              <w:right w:val="single" w:sz="4" w:space="0" w:color="auto"/>
            </w:tcBorders>
            <w:shd w:val="clear" w:color="auto" w:fill="auto"/>
            <w:noWrap/>
            <w:vAlign w:val="center"/>
            <w:hideMark/>
          </w:tcPr>
          <w:p w14:paraId="55B3D77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2020/07/03</w:t>
            </w:r>
          </w:p>
        </w:tc>
        <w:tc>
          <w:tcPr>
            <w:tcW w:w="1540" w:type="dxa"/>
            <w:tcBorders>
              <w:top w:val="nil"/>
              <w:left w:val="nil"/>
              <w:bottom w:val="single" w:sz="4" w:space="0" w:color="auto"/>
              <w:right w:val="single" w:sz="4" w:space="0" w:color="auto"/>
            </w:tcBorders>
            <w:shd w:val="clear" w:color="auto" w:fill="auto"/>
            <w:noWrap/>
            <w:vAlign w:val="center"/>
            <w:hideMark/>
          </w:tcPr>
          <w:p w14:paraId="6F5EBAD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12.842.687.919 </w:t>
            </w:r>
          </w:p>
        </w:tc>
      </w:tr>
      <w:tr w:rsidR="00826439" w:rsidRPr="00826439" w14:paraId="7B3352DF"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BD481C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102</w:t>
            </w:r>
          </w:p>
        </w:tc>
        <w:tc>
          <w:tcPr>
            <w:tcW w:w="1160" w:type="dxa"/>
            <w:tcBorders>
              <w:top w:val="nil"/>
              <w:left w:val="nil"/>
              <w:bottom w:val="single" w:sz="4" w:space="0" w:color="auto"/>
              <w:right w:val="single" w:sz="4" w:space="0" w:color="auto"/>
            </w:tcBorders>
            <w:shd w:val="clear" w:color="auto" w:fill="auto"/>
            <w:noWrap/>
            <w:vAlign w:val="center"/>
            <w:hideMark/>
          </w:tcPr>
          <w:p w14:paraId="1283B95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268FBD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21.000.000.000 </w:t>
            </w:r>
          </w:p>
        </w:tc>
        <w:tc>
          <w:tcPr>
            <w:tcW w:w="640" w:type="dxa"/>
            <w:tcBorders>
              <w:top w:val="nil"/>
              <w:left w:val="nil"/>
              <w:bottom w:val="single" w:sz="4" w:space="0" w:color="auto"/>
              <w:right w:val="single" w:sz="4" w:space="0" w:color="auto"/>
            </w:tcBorders>
            <w:shd w:val="clear" w:color="auto" w:fill="auto"/>
            <w:noWrap/>
            <w:vAlign w:val="center"/>
            <w:hideMark/>
          </w:tcPr>
          <w:p w14:paraId="70934A4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138523</w:t>
            </w:r>
          </w:p>
        </w:tc>
        <w:tc>
          <w:tcPr>
            <w:tcW w:w="840" w:type="dxa"/>
            <w:tcBorders>
              <w:top w:val="nil"/>
              <w:left w:val="nil"/>
              <w:bottom w:val="single" w:sz="4" w:space="0" w:color="auto"/>
              <w:right w:val="single" w:sz="4" w:space="0" w:color="auto"/>
            </w:tcBorders>
            <w:shd w:val="clear" w:color="auto" w:fill="auto"/>
            <w:noWrap/>
            <w:vAlign w:val="center"/>
            <w:hideMark/>
          </w:tcPr>
          <w:p w14:paraId="5D94EBA4"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3520E3C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49CFCE3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760" w:type="dxa"/>
            <w:tcBorders>
              <w:top w:val="nil"/>
              <w:left w:val="nil"/>
              <w:bottom w:val="single" w:sz="4" w:space="0" w:color="auto"/>
              <w:right w:val="single" w:sz="4" w:space="0" w:color="auto"/>
            </w:tcBorders>
            <w:shd w:val="clear" w:color="auto" w:fill="auto"/>
            <w:noWrap/>
            <w:vAlign w:val="center"/>
            <w:hideMark/>
          </w:tcPr>
          <w:p w14:paraId="442619C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2019/12/03</w:t>
            </w:r>
          </w:p>
        </w:tc>
        <w:tc>
          <w:tcPr>
            <w:tcW w:w="960" w:type="dxa"/>
            <w:tcBorders>
              <w:top w:val="nil"/>
              <w:left w:val="nil"/>
              <w:bottom w:val="single" w:sz="4" w:space="0" w:color="auto"/>
              <w:right w:val="single" w:sz="4" w:space="0" w:color="auto"/>
            </w:tcBorders>
            <w:shd w:val="clear" w:color="auto" w:fill="auto"/>
            <w:noWrap/>
            <w:vAlign w:val="center"/>
            <w:hideMark/>
          </w:tcPr>
          <w:p w14:paraId="04B790F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2020/07/03</w:t>
            </w:r>
          </w:p>
        </w:tc>
        <w:tc>
          <w:tcPr>
            <w:tcW w:w="1540" w:type="dxa"/>
            <w:tcBorders>
              <w:top w:val="nil"/>
              <w:left w:val="nil"/>
              <w:bottom w:val="single" w:sz="4" w:space="0" w:color="auto"/>
              <w:right w:val="single" w:sz="4" w:space="0" w:color="auto"/>
            </w:tcBorders>
            <w:shd w:val="clear" w:color="auto" w:fill="auto"/>
            <w:noWrap/>
            <w:vAlign w:val="center"/>
            <w:hideMark/>
          </w:tcPr>
          <w:p w14:paraId="1140BA2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21.080.633.705 </w:t>
            </w:r>
          </w:p>
        </w:tc>
      </w:tr>
      <w:tr w:rsidR="00826439" w:rsidRPr="00826439" w14:paraId="12EE777A"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AFF1EE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103</w:t>
            </w:r>
          </w:p>
        </w:tc>
        <w:tc>
          <w:tcPr>
            <w:tcW w:w="1160" w:type="dxa"/>
            <w:tcBorders>
              <w:top w:val="nil"/>
              <w:left w:val="nil"/>
              <w:bottom w:val="single" w:sz="4" w:space="0" w:color="auto"/>
              <w:right w:val="single" w:sz="4" w:space="0" w:color="auto"/>
            </w:tcBorders>
            <w:shd w:val="clear" w:color="auto" w:fill="auto"/>
            <w:noWrap/>
            <w:vAlign w:val="center"/>
            <w:hideMark/>
          </w:tcPr>
          <w:p w14:paraId="2850B74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3B938C9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6.181.705.259 </w:t>
            </w:r>
          </w:p>
        </w:tc>
        <w:tc>
          <w:tcPr>
            <w:tcW w:w="640" w:type="dxa"/>
            <w:tcBorders>
              <w:top w:val="nil"/>
              <w:left w:val="nil"/>
              <w:bottom w:val="single" w:sz="4" w:space="0" w:color="auto"/>
              <w:right w:val="single" w:sz="4" w:space="0" w:color="auto"/>
            </w:tcBorders>
            <w:shd w:val="clear" w:color="auto" w:fill="auto"/>
            <w:noWrap/>
            <w:vAlign w:val="center"/>
            <w:hideMark/>
          </w:tcPr>
          <w:p w14:paraId="26852B0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138523</w:t>
            </w:r>
          </w:p>
        </w:tc>
        <w:tc>
          <w:tcPr>
            <w:tcW w:w="840" w:type="dxa"/>
            <w:tcBorders>
              <w:top w:val="nil"/>
              <w:left w:val="nil"/>
              <w:bottom w:val="single" w:sz="4" w:space="0" w:color="auto"/>
              <w:right w:val="single" w:sz="4" w:space="0" w:color="auto"/>
            </w:tcBorders>
            <w:shd w:val="clear" w:color="auto" w:fill="auto"/>
            <w:noWrap/>
            <w:vAlign w:val="center"/>
            <w:hideMark/>
          </w:tcPr>
          <w:p w14:paraId="5DCFE7B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0BF9E26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0C6E56D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760" w:type="dxa"/>
            <w:tcBorders>
              <w:top w:val="nil"/>
              <w:left w:val="nil"/>
              <w:bottom w:val="single" w:sz="4" w:space="0" w:color="auto"/>
              <w:right w:val="single" w:sz="4" w:space="0" w:color="auto"/>
            </w:tcBorders>
            <w:shd w:val="clear" w:color="auto" w:fill="auto"/>
            <w:noWrap/>
            <w:vAlign w:val="center"/>
            <w:hideMark/>
          </w:tcPr>
          <w:p w14:paraId="00073BE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2019/12/03</w:t>
            </w:r>
          </w:p>
        </w:tc>
        <w:tc>
          <w:tcPr>
            <w:tcW w:w="960" w:type="dxa"/>
            <w:tcBorders>
              <w:top w:val="nil"/>
              <w:left w:val="nil"/>
              <w:bottom w:val="single" w:sz="4" w:space="0" w:color="auto"/>
              <w:right w:val="single" w:sz="4" w:space="0" w:color="auto"/>
            </w:tcBorders>
            <w:shd w:val="clear" w:color="auto" w:fill="auto"/>
            <w:noWrap/>
            <w:vAlign w:val="center"/>
            <w:hideMark/>
          </w:tcPr>
          <w:p w14:paraId="3091915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2020/07/03</w:t>
            </w:r>
          </w:p>
        </w:tc>
        <w:tc>
          <w:tcPr>
            <w:tcW w:w="1540" w:type="dxa"/>
            <w:tcBorders>
              <w:top w:val="nil"/>
              <w:left w:val="nil"/>
              <w:bottom w:val="single" w:sz="4" w:space="0" w:color="auto"/>
              <w:right w:val="single" w:sz="4" w:space="0" w:color="auto"/>
            </w:tcBorders>
            <w:shd w:val="clear" w:color="auto" w:fill="auto"/>
            <w:noWrap/>
            <w:vAlign w:val="center"/>
            <w:hideMark/>
          </w:tcPr>
          <w:p w14:paraId="5B81859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6.205.441.154 </w:t>
            </w:r>
          </w:p>
        </w:tc>
      </w:tr>
      <w:tr w:rsidR="00826439" w:rsidRPr="00826439" w14:paraId="5953518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16A4EB2"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104</w:t>
            </w:r>
          </w:p>
        </w:tc>
        <w:tc>
          <w:tcPr>
            <w:tcW w:w="1160" w:type="dxa"/>
            <w:tcBorders>
              <w:top w:val="nil"/>
              <w:left w:val="nil"/>
              <w:bottom w:val="single" w:sz="4" w:space="0" w:color="auto"/>
              <w:right w:val="single" w:sz="4" w:space="0" w:color="auto"/>
            </w:tcBorders>
            <w:shd w:val="clear" w:color="auto" w:fill="auto"/>
            <w:noWrap/>
            <w:vAlign w:val="center"/>
            <w:hideMark/>
          </w:tcPr>
          <w:p w14:paraId="4659F88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04A0222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22.000.000.000 </w:t>
            </w:r>
          </w:p>
        </w:tc>
        <w:tc>
          <w:tcPr>
            <w:tcW w:w="640" w:type="dxa"/>
            <w:tcBorders>
              <w:top w:val="nil"/>
              <w:left w:val="nil"/>
              <w:bottom w:val="single" w:sz="4" w:space="0" w:color="auto"/>
              <w:right w:val="single" w:sz="4" w:space="0" w:color="auto"/>
            </w:tcBorders>
            <w:shd w:val="clear" w:color="auto" w:fill="auto"/>
            <w:noWrap/>
            <w:vAlign w:val="center"/>
            <w:hideMark/>
          </w:tcPr>
          <w:p w14:paraId="0E4B9E4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138523</w:t>
            </w:r>
          </w:p>
        </w:tc>
        <w:tc>
          <w:tcPr>
            <w:tcW w:w="840" w:type="dxa"/>
            <w:tcBorders>
              <w:top w:val="nil"/>
              <w:left w:val="nil"/>
              <w:bottom w:val="single" w:sz="4" w:space="0" w:color="auto"/>
              <w:right w:val="single" w:sz="4" w:space="0" w:color="auto"/>
            </w:tcBorders>
            <w:shd w:val="clear" w:color="auto" w:fill="auto"/>
            <w:noWrap/>
            <w:vAlign w:val="center"/>
            <w:hideMark/>
          </w:tcPr>
          <w:p w14:paraId="06037DF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4F03DF05"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628F937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760" w:type="dxa"/>
            <w:tcBorders>
              <w:top w:val="nil"/>
              <w:left w:val="nil"/>
              <w:bottom w:val="single" w:sz="4" w:space="0" w:color="auto"/>
              <w:right w:val="single" w:sz="4" w:space="0" w:color="auto"/>
            </w:tcBorders>
            <w:shd w:val="clear" w:color="auto" w:fill="auto"/>
            <w:noWrap/>
            <w:vAlign w:val="center"/>
            <w:hideMark/>
          </w:tcPr>
          <w:p w14:paraId="39181A9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2019/12/03</w:t>
            </w:r>
          </w:p>
        </w:tc>
        <w:tc>
          <w:tcPr>
            <w:tcW w:w="960" w:type="dxa"/>
            <w:tcBorders>
              <w:top w:val="nil"/>
              <w:left w:val="nil"/>
              <w:bottom w:val="single" w:sz="4" w:space="0" w:color="auto"/>
              <w:right w:val="single" w:sz="4" w:space="0" w:color="auto"/>
            </w:tcBorders>
            <w:shd w:val="clear" w:color="auto" w:fill="auto"/>
            <w:noWrap/>
            <w:vAlign w:val="center"/>
            <w:hideMark/>
          </w:tcPr>
          <w:p w14:paraId="6CC1B43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2020/07/03</w:t>
            </w:r>
          </w:p>
        </w:tc>
        <w:tc>
          <w:tcPr>
            <w:tcW w:w="1540" w:type="dxa"/>
            <w:tcBorders>
              <w:top w:val="nil"/>
              <w:left w:val="nil"/>
              <w:bottom w:val="single" w:sz="4" w:space="0" w:color="auto"/>
              <w:right w:val="single" w:sz="4" w:space="0" w:color="auto"/>
            </w:tcBorders>
            <w:shd w:val="clear" w:color="auto" w:fill="auto"/>
            <w:noWrap/>
            <w:vAlign w:val="center"/>
            <w:hideMark/>
          </w:tcPr>
          <w:p w14:paraId="5E2C01F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22.084.473.405 </w:t>
            </w:r>
          </w:p>
        </w:tc>
      </w:tr>
      <w:tr w:rsidR="00826439" w:rsidRPr="00826439" w14:paraId="2DAE05DB"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C6C16E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105</w:t>
            </w:r>
          </w:p>
        </w:tc>
        <w:tc>
          <w:tcPr>
            <w:tcW w:w="1160" w:type="dxa"/>
            <w:tcBorders>
              <w:top w:val="nil"/>
              <w:left w:val="nil"/>
              <w:bottom w:val="single" w:sz="4" w:space="0" w:color="auto"/>
              <w:right w:val="single" w:sz="4" w:space="0" w:color="auto"/>
            </w:tcBorders>
            <w:shd w:val="clear" w:color="auto" w:fill="auto"/>
            <w:noWrap/>
            <w:vAlign w:val="center"/>
            <w:hideMark/>
          </w:tcPr>
          <w:p w14:paraId="09B7EB8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6FD419E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7.000.000.000 </w:t>
            </w:r>
          </w:p>
        </w:tc>
        <w:tc>
          <w:tcPr>
            <w:tcW w:w="640" w:type="dxa"/>
            <w:tcBorders>
              <w:top w:val="nil"/>
              <w:left w:val="nil"/>
              <w:bottom w:val="single" w:sz="4" w:space="0" w:color="auto"/>
              <w:right w:val="single" w:sz="4" w:space="0" w:color="auto"/>
            </w:tcBorders>
            <w:shd w:val="clear" w:color="auto" w:fill="auto"/>
            <w:noWrap/>
            <w:vAlign w:val="center"/>
            <w:hideMark/>
          </w:tcPr>
          <w:p w14:paraId="36F3583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138957</w:t>
            </w:r>
          </w:p>
        </w:tc>
        <w:tc>
          <w:tcPr>
            <w:tcW w:w="840" w:type="dxa"/>
            <w:tcBorders>
              <w:top w:val="nil"/>
              <w:left w:val="nil"/>
              <w:bottom w:val="single" w:sz="4" w:space="0" w:color="auto"/>
              <w:right w:val="single" w:sz="4" w:space="0" w:color="auto"/>
            </w:tcBorders>
            <w:shd w:val="clear" w:color="auto" w:fill="auto"/>
            <w:noWrap/>
            <w:vAlign w:val="center"/>
            <w:hideMark/>
          </w:tcPr>
          <w:p w14:paraId="308B012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210</w:t>
            </w:r>
          </w:p>
        </w:tc>
        <w:tc>
          <w:tcPr>
            <w:tcW w:w="760" w:type="dxa"/>
            <w:tcBorders>
              <w:top w:val="nil"/>
              <w:left w:val="nil"/>
              <w:bottom w:val="single" w:sz="4" w:space="0" w:color="auto"/>
              <w:right w:val="single" w:sz="4" w:space="0" w:color="auto"/>
            </w:tcBorders>
            <w:shd w:val="clear" w:color="auto" w:fill="auto"/>
            <w:noWrap/>
            <w:vAlign w:val="center"/>
            <w:hideMark/>
          </w:tcPr>
          <w:p w14:paraId="5FB91016"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59AAF5A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760" w:type="dxa"/>
            <w:tcBorders>
              <w:top w:val="nil"/>
              <w:left w:val="nil"/>
              <w:bottom w:val="single" w:sz="4" w:space="0" w:color="auto"/>
              <w:right w:val="single" w:sz="4" w:space="0" w:color="auto"/>
            </w:tcBorders>
            <w:shd w:val="clear" w:color="auto" w:fill="auto"/>
            <w:noWrap/>
            <w:vAlign w:val="center"/>
            <w:hideMark/>
          </w:tcPr>
          <w:p w14:paraId="0E9FFE5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2019/12/06</w:t>
            </w:r>
          </w:p>
        </w:tc>
        <w:tc>
          <w:tcPr>
            <w:tcW w:w="960" w:type="dxa"/>
            <w:tcBorders>
              <w:top w:val="nil"/>
              <w:left w:val="nil"/>
              <w:bottom w:val="single" w:sz="4" w:space="0" w:color="auto"/>
              <w:right w:val="single" w:sz="4" w:space="0" w:color="auto"/>
            </w:tcBorders>
            <w:shd w:val="clear" w:color="auto" w:fill="auto"/>
            <w:noWrap/>
            <w:vAlign w:val="center"/>
            <w:hideMark/>
          </w:tcPr>
          <w:p w14:paraId="2AEBFE5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2020/07/06</w:t>
            </w:r>
          </w:p>
        </w:tc>
        <w:tc>
          <w:tcPr>
            <w:tcW w:w="1540" w:type="dxa"/>
            <w:tcBorders>
              <w:top w:val="nil"/>
              <w:left w:val="nil"/>
              <w:bottom w:val="single" w:sz="4" w:space="0" w:color="auto"/>
              <w:right w:val="single" w:sz="4" w:space="0" w:color="auto"/>
            </w:tcBorders>
            <w:shd w:val="clear" w:color="auto" w:fill="auto"/>
            <w:noWrap/>
            <w:vAlign w:val="center"/>
            <w:hideMark/>
          </w:tcPr>
          <w:p w14:paraId="3A88D05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7.023.993.197 </w:t>
            </w:r>
          </w:p>
        </w:tc>
      </w:tr>
      <w:tr w:rsidR="00826439" w:rsidRPr="00826439" w14:paraId="265A06C6"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823716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106</w:t>
            </w:r>
          </w:p>
        </w:tc>
        <w:tc>
          <w:tcPr>
            <w:tcW w:w="1160" w:type="dxa"/>
            <w:tcBorders>
              <w:top w:val="nil"/>
              <w:left w:val="nil"/>
              <w:bottom w:val="single" w:sz="4" w:space="0" w:color="auto"/>
              <w:right w:val="single" w:sz="4" w:space="0" w:color="auto"/>
            </w:tcBorders>
            <w:shd w:val="clear" w:color="auto" w:fill="auto"/>
            <w:noWrap/>
            <w:vAlign w:val="center"/>
            <w:hideMark/>
          </w:tcPr>
          <w:p w14:paraId="52C199B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DAVIVIENDA</w:t>
            </w:r>
          </w:p>
        </w:tc>
        <w:tc>
          <w:tcPr>
            <w:tcW w:w="1480" w:type="dxa"/>
            <w:tcBorders>
              <w:top w:val="nil"/>
              <w:left w:val="nil"/>
              <w:bottom w:val="single" w:sz="4" w:space="0" w:color="auto"/>
              <w:right w:val="single" w:sz="4" w:space="0" w:color="auto"/>
            </w:tcBorders>
            <w:shd w:val="clear" w:color="auto" w:fill="auto"/>
            <w:noWrap/>
            <w:vAlign w:val="center"/>
            <w:hideMark/>
          </w:tcPr>
          <w:p w14:paraId="6833B90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10.290.090.000 </w:t>
            </w:r>
          </w:p>
        </w:tc>
        <w:tc>
          <w:tcPr>
            <w:tcW w:w="640" w:type="dxa"/>
            <w:tcBorders>
              <w:top w:val="nil"/>
              <w:left w:val="nil"/>
              <w:bottom w:val="single" w:sz="4" w:space="0" w:color="auto"/>
              <w:right w:val="single" w:sz="4" w:space="0" w:color="auto"/>
            </w:tcBorders>
            <w:shd w:val="clear" w:color="auto" w:fill="auto"/>
            <w:noWrap/>
            <w:vAlign w:val="center"/>
            <w:hideMark/>
          </w:tcPr>
          <w:p w14:paraId="234E4BC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179751</w:t>
            </w:r>
          </w:p>
        </w:tc>
        <w:tc>
          <w:tcPr>
            <w:tcW w:w="840" w:type="dxa"/>
            <w:tcBorders>
              <w:top w:val="nil"/>
              <w:left w:val="nil"/>
              <w:bottom w:val="single" w:sz="4" w:space="0" w:color="auto"/>
              <w:right w:val="single" w:sz="4" w:space="0" w:color="auto"/>
            </w:tcBorders>
            <w:shd w:val="clear" w:color="auto" w:fill="auto"/>
            <w:noWrap/>
            <w:vAlign w:val="center"/>
            <w:hideMark/>
          </w:tcPr>
          <w:p w14:paraId="0DBE3CB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241</w:t>
            </w:r>
          </w:p>
        </w:tc>
        <w:tc>
          <w:tcPr>
            <w:tcW w:w="760" w:type="dxa"/>
            <w:tcBorders>
              <w:top w:val="nil"/>
              <w:left w:val="nil"/>
              <w:bottom w:val="single" w:sz="4" w:space="0" w:color="auto"/>
              <w:right w:val="single" w:sz="4" w:space="0" w:color="auto"/>
            </w:tcBorders>
            <w:shd w:val="clear" w:color="auto" w:fill="auto"/>
            <w:noWrap/>
            <w:vAlign w:val="center"/>
            <w:hideMark/>
          </w:tcPr>
          <w:p w14:paraId="562C9C30"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4,90%</w:t>
            </w:r>
          </w:p>
        </w:tc>
        <w:tc>
          <w:tcPr>
            <w:tcW w:w="820" w:type="dxa"/>
            <w:tcBorders>
              <w:top w:val="nil"/>
              <w:left w:val="nil"/>
              <w:bottom w:val="single" w:sz="4" w:space="0" w:color="auto"/>
              <w:right w:val="single" w:sz="4" w:space="0" w:color="auto"/>
            </w:tcBorders>
            <w:shd w:val="clear" w:color="auto" w:fill="auto"/>
            <w:noWrap/>
            <w:vAlign w:val="center"/>
            <w:hideMark/>
          </w:tcPr>
          <w:p w14:paraId="0870B781"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4,86%</w:t>
            </w:r>
          </w:p>
        </w:tc>
        <w:tc>
          <w:tcPr>
            <w:tcW w:w="760" w:type="dxa"/>
            <w:tcBorders>
              <w:top w:val="nil"/>
              <w:left w:val="nil"/>
              <w:bottom w:val="single" w:sz="4" w:space="0" w:color="auto"/>
              <w:right w:val="single" w:sz="4" w:space="0" w:color="auto"/>
            </w:tcBorders>
            <w:shd w:val="clear" w:color="auto" w:fill="auto"/>
            <w:noWrap/>
            <w:vAlign w:val="center"/>
            <w:hideMark/>
          </w:tcPr>
          <w:p w14:paraId="673C901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2019/11/05</w:t>
            </w:r>
          </w:p>
        </w:tc>
        <w:tc>
          <w:tcPr>
            <w:tcW w:w="960" w:type="dxa"/>
            <w:tcBorders>
              <w:top w:val="nil"/>
              <w:left w:val="nil"/>
              <w:bottom w:val="single" w:sz="4" w:space="0" w:color="auto"/>
              <w:right w:val="single" w:sz="4" w:space="0" w:color="auto"/>
            </w:tcBorders>
            <w:shd w:val="clear" w:color="auto" w:fill="auto"/>
            <w:noWrap/>
            <w:vAlign w:val="center"/>
            <w:hideMark/>
          </w:tcPr>
          <w:p w14:paraId="19701C4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2020/07/06</w:t>
            </w:r>
          </w:p>
        </w:tc>
        <w:tc>
          <w:tcPr>
            <w:tcW w:w="1540" w:type="dxa"/>
            <w:tcBorders>
              <w:top w:val="nil"/>
              <w:left w:val="nil"/>
              <w:bottom w:val="single" w:sz="4" w:space="0" w:color="auto"/>
              <w:right w:val="single" w:sz="4" w:space="0" w:color="auto"/>
            </w:tcBorders>
            <w:shd w:val="clear" w:color="auto" w:fill="auto"/>
            <w:noWrap/>
            <w:vAlign w:val="center"/>
            <w:hideMark/>
          </w:tcPr>
          <w:p w14:paraId="7CFA389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10.366.313.669 </w:t>
            </w:r>
          </w:p>
        </w:tc>
      </w:tr>
      <w:tr w:rsidR="00826439" w:rsidRPr="00826439" w14:paraId="3804D593"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6C28E9A"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107</w:t>
            </w:r>
          </w:p>
        </w:tc>
        <w:tc>
          <w:tcPr>
            <w:tcW w:w="1160" w:type="dxa"/>
            <w:tcBorders>
              <w:top w:val="nil"/>
              <w:left w:val="nil"/>
              <w:bottom w:val="single" w:sz="4" w:space="0" w:color="auto"/>
              <w:right w:val="single" w:sz="4" w:space="0" w:color="auto"/>
            </w:tcBorders>
            <w:shd w:val="clear" w:color="auto" w:fill="auto"/>
            <w:noWrap/>
            <w:vAlign w:val="center"/>
            <w:hideMark/>
          </w:tcPr>
          <w:p w14:paraId="50E59E6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13F9F9C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13.000.000.000 </w:t>
            </w:r>
          </w:p>
        </w:tc>
        <w:tc>
          <w:tcPr>
            <w:tcW w:w="640" w:type="dxa"/>
            <w:tcBorders>
              <w:top w:val="nil"/>
              <w:left w:val="nil"/>
              <w:bottom w:val="single" w:sz="4" w:space="0" w:color="auto"/>
              <w:right w:val="single" w:sz="4" w:space="0" w:color="auto"/>
            </w:tcBorders>
            <w:shd w:val="clear" w:color="auto" w:fill="auto"/>
            <w:noWrap/>
            <w:vAlign w:val="center"/>
            <w:hideMark/>
          </w:tcPr>
          <w:p w14:paraId="77F041D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208142</w:t>
            </w:r>
          </w:p>
        </w:tc>
        <w:tc>
          <w:tcPr>
            <w:tcW w:w="840" w:type="dxa"/>
            <w:tcBorders>
              <w:top w:val="nil"/>
              <w:left w:val="nil"/>
              <w:bottom w:val="single" w:sz="4" w:space="0" w:color="auto"/>
              <w:right w:val="single" w:sz="4" w:space="0" w:color="auto"/>
            </w:tcBorders>
            <w:shd w:val="clear" w:color="auto" w:fill="auto"/>
            <w:noWrap/>
            <w:vAlign w:val="center"/>
            <w:hideMark/>
          </w:tcPr>
          <w:p w14:paraId="571C0E82"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214</w:t>
            </w:r>
          </w:p>
        </w:tc>
        <w:tc>
          <w:tcPr>
            <w:tcW w:w="760" w:type="dxa"/>
            <w:tcBorders>
              <w:top w:val="nil"/>
              <w:left w:val="nil"/>
              <w:bottom w:val="single" w:sz="4" w:space="0" w:color="auto"/>
              <w:right w:val="single" w:sz="4" w:space="0" w:color="auto"/>
            </w:tcBorders>
            <w:shd w:val="clear" w:color="auto" w:fill="auto"/>
            <w:noWrap/>
            <w:vAlign w:val="center"/>
            <w:hideMark/>
          </w:tcPr>
          <w:p w14:paraId="6A656CDD"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5,10%</w:t>
            </w:r>
          </w:p>
        </w:tc>
        <w:tc>
          <w:tcPr>
            <w:tcW w:w="820" w:type="dxa"/>
            <w:tcBorders>
              <w:top w:val="nil"/>
              <w:left w:val="nil"/>
              <w:bottom w:val="single" w:sz="4" w:space="0" w:color="auto"/>
              <w:right w:val="single" w:sz="4" w:space="0" w:color="auto"/>
            </w:tcBorders>
            <w:shd w:val="clear" w:color="auto" w:fill="auto"/>
            <w:noWrap/>
            <w:vAlign w:val="center"/>
            <w:hideMark/>
          </w:tcPr>
          <w:p w14:paraId="500E39BE"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5,05%</w:t>
            </w:r>
          </w:p>
        </w:tc>
        <w:tc>
          <w:tcPr>
            <w:tcW w:w="760" w:type="dxa"/>
            <w:tcBorders>
              <w:top w:val="nil"/>
              <w:left w:val="nil"/>
              <w:bottom w:val="single" w:sz="4" w:space="0" w:color="auto"/>
              <w:right w:val="single" w:sz="4" w:space="0" w:color="auto"/>
            </w:tcBorders>
            <w:shd w:val="clear" w:color="auto" w:fill="auto"/>
            <w:noWrap/>
            <w:vAlign w:val="center"/>
            <w:hideMark/>
          </w:tcPr>
          <w:p w14:paraId="4CCA179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2019/12/12</w:t>
            </w:r>
          </w:p>
        </w:tc>
        <w:tc>
          <w:tcPr>
            <w:tcW w:w="960" w:type="dxa"/>
            <w:tcBorders>
              <w:top w:val="nil"/>
              <w:left w:val="nil"/>
              <w:bottom w:val="single" w:sz="4" w:space="0" w:color="auto"/>
              <w:right w:val="single" w:sz="4" w:space="0" w:color="auto"/>
            </w:tcBorders>
            <w:shd w:val="clear" w:color="auto" w:fill="auto"/>
            <w:noWrap/>
            <w:vAlign w:val="center"/>
            <w:hideMark/>
          </w:tcPr>
          <w:p w14:paraId="7FF81FC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2020/07/13</w:t>
            </w:r>
          </w:p>
        </w:tc>
        <w:tc>
          <w:tcPr>
            <w:tcW w:w="1540" w:type="dxa"/>
            <w:tcBorders>
              <w:top w:val="nil"/>
              <w:left w:val="nil"/>
              <w:bottom w:val="single" w:sz="4" w:space="0" w:color="auto"/>
              <w:right w:val="single" w:sz="4" w:space="0" w:color="auto"/>
            </w:tcBorders>
            <w:shd w:val="clear" w:color="auto" w:fill="auto"/>
            <w:noWrap/>
            <w:vAlign w:val="center"/>
            <w:hideMark/>
          </w:tcPr>
          <w:p w14:paraId="6CE8BF6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13.033.721.488 </w:t>
            </w:r>
          </w:p>
        </w:tc>
      </w:tr>
      <w:tr w:rsidR="00826439" w:rsidRPr="00826439" w14:paraId="15753CF7" w14:textId="77777777" w:rsidTr="00826439">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C82308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108</w:t>
            </w:r>
          </w:p>
        </w:tc>
        <w:tc>
          <w:tcPr>
            <w:tcW w:w="1160" w:type="dxa"/>
            <w:tcBorders>
              <w:top w:val="nil"/>
              <w:left w:val="nil"/>
              <w:bottom w:val="nil"/>
              <w:right w:val="single" w:sz="4" w:space="0" w:color="auto"/>
            </w:tcBorders>
            <w:shd w:val="clear" w:color="auto" w:fill="auto"/>
            <w:noWrap/>
            <w:vAlign w:val="center"/>
            <w:hideMark/>
          </w:tcPr>
          <w:p w14:paraId="198DB4B8"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nil"/>
              <w:right w:val="single" w:sz="4" w:space="0" w:color="auto"/>
            </w:tcBorders>
            <w:shd w:val="clear" w:color="auto" w:fill="auto"/>
            <w:noWrap/>
            <w:vAlign w:val="center"/>
            <w:hideMark/>
          </w:tcPr>
          <w:p w14:paraId="6C5AB75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5.144.350.000 </w:t>
            </w:r>
          </w:p>
        </w:tc>
        <w:tc>
          <w:tcPr>
            <w:tcW w:w="640" w:type="dxa"/>
            <w:tcBorders>
              <w:top w:val="nil"/>
              <w:left w:val="nil"/>
              <w:bottom w:val="nil"/>
              <w:right w:val="single" w:sz="4" w:space="0" w:color="auto"/>
            </w:tcBorders>
            <w:shd w:val="clear" w:color="auto" w:fill="auto"/>
            <w:noWrap/>
            <w:vAlign w:val="center"/>
            <w:hideMark/>
          </w:tcPr>
          <w:p w14:paraId="6F3906F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186919</w:t>
            </w:r>
          </w:p>
        </w:tc>
        <w:tc>
          <w:tcPr>
            <w:tcW w:w="840" w:type="dxa"/>
            <w:tcBorders>
              <w:top w:val="nil"/>
              <w:left w:val="nil"/>
              <w:bottom w:val="nil"/>
              <w:right w:val="single" w:sz="4" w:space="0" w:color="auto"/>
            </w:tcBorders>
            <w:shd w:val="clear" w:color="auto" w:fill="auto"/>
            <w:noWrap/>
            <w:vAlign w:val="center"/>
            <w:hideMark/>
          </w:tcPr>
          <w:p w14:paraId="79CCCA3B"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241</w:t>
            </w:r>
          </w:p>
        </w:tc>
        <w:tc>
          <w:tcPr>
            <w:tcW w:w="760" w:type="dxa"/>
            <w:tcBorders>
              <w:top w:val="nil"/>
              <w:left w:val="nil"/>
              <w:bottom w:val="nil"/>
              <w:right w:val="single" w:sz="4" w:space="0" w:color="auto"/>
            </w:tcBorders>
            <w:shd w:val="clear" w:color="auto" w:fill="auto"/>
            <w:noWrap/>
            <w:vAlign w:val="center"/>
            <w:hideMark/>
          </w:tcPr>
          <w:p w14:paraId="4077228F"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4,95%</w:t>
            </w:r>
          </w:p>
        </w:tc>
        <w:tc>
          <w:tcPr>
            <w:tcW w:w="820" w:type="dxa"/>
            <w:tcBorders>
              <w:top w:val="nil"/>
              <w:left w:val="nil"/>
              <w:bottom w:val="nil"/>
              <w:right w:val="single" w:sz="4" w:space="0" w:color="auto"/>
            </w:tcBorders>
            <w:shd w:val="clear" w:color="auto" w:fill="auto"/>
            <w:noWrap/>
            <w:vAlign w:val="center"/>
            <w:hideMark/>
          </w:tcPr>
          <w:p w14:paraId="35759BCC" w14:textId="77777777" w:rsidR="00826439" w:rsidRPr="00826439" w:rsidRDefault="00826439" w:rsidP="00AB4D08">
            <w:pPr>
              <w:spacing w:after="0" w:line="240" w:lineRule="auto"/>
              <w:contextualSpacing/>
              <w:jc w:val="center"/>
              <w:rPr>
                <w:rFonts w:ascii="Times New Roman" w:eastAsia="Times New Roman" w:hAnsi="Times New Roman"/>
                <w:color w:val="000000"/>
                <w:sz w:val="12"/>
                <w:szCs w:val="12"/>
                <w:lang w:eastAsia="es-CO"/>
              </w:rPr>
            </w:pPr>
            <w:r w:rsidRPr="00826439">
              <w:rPr>
                <w:rFonts w:ascii="Times New Roman" w:eastAsia="Times New Roman" w:hAnsi="Times New Roman"/>
                <w:color w:val="000000"/>
                <w:sz w:val="12"/>
                <w:szCs w:val="12"/>
                <w:lang w:eastAsia="es-CO"/>
              </w:rPr>
              <w:t>4,91%</w:t>
            </w:r>
          </w:p>
        </w:tc>
        <w:tc>
          <w:tcPr>
            <w:tcW w:w="760" w:type="dxa"/>
            <w:tcBorders>
              <w:top w:val="nil"/>
              <w:left w:val="nil"/>
              <w:bottom w:val="nil"/>
              <w:right w:val="single" w:sz="4" w:space="0" w:color="auto"/>
            </w:tcBorders>
            <w:shd w:val="clear" w:color="auto" w:fill="auto"/>
            <w:noWrap/>
            <w:vAlign w:val="center"/>
            <w:hideMark/>
          </w:tcPr>
          <w:p w14:paraId="7BE69E6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2019/11/12</w:t>
            </w:r>
          </w:p>
        </w:tc>
        <w:tc>
          <w:tcPr>
            <w:tcW w:w="960" w:type="dxa"/>
            <w:tcBorders>
              <w:top w:val="nil"/>
              <w:left w:val="nil"/>
              <w:bottom w:val="nil"/>
              <w:right w:val="single" w:sz="4" w:space="0" w:color="auto"/>
            </w:tcBorders>
            <w:shd w:val="clear" w:color="auto" w:fill="auto"/>
            <w:noWrap/>
            <w:vAlign w:val="center"/>
            <w:hideMark/>
          </w:tcPr>
          <w:p w14:paraId="59579F3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2020/07/13</w:t>
            </w:r>
          </w:p>
        </w:tc>
        <w:tc>
          <w:tcPr>
            <w:tcW w:w="1540" w:type="dxa"/>
            <w:tcBorders>
              <w:top w:val="nil"/>
              <w:left w:val="nil"/>
              <w:bottom w:val="single" w:sz="4" w:space="0" w:color="auto"/>
              <w:right w:val="single" w:sz="4" w:space="0" w:color="auto"/>
            </w:tcBorders>
            <w:shd w:val="clear" w:color="auto" w:fill="auto"/>
            <w:noWrap/>
            <w:vAlign w:val="center"/>
            <w:hideMark/>
          </w:tcPr>
          <w:p w14:paraId="1184246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5.178.010.957 </w:t>
            </w:r>
          </w:p>
        </w:tc>
      </w:tr>
      <w:tr w:rsidR="00826439" w:rsidRPr="00826439" w14:paraId="47B1BC5A"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B0966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109</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A8638D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3E967F"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3.992.606.730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E20678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209952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C311E6F"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212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369411E"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7F40FF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915382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17ACE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2020/07/16</w:t>
            </w:r>
          </w:p>
        </w:tc>
        <w:tc>
          <w:tcPr>
            <w:tcW w:w="1540" w:type="dxa"/>
            <w:tcBorders>
              <w:top w:val="nil"/>
              <w:left w:val="nil"/>
              <w:bottom w:val="single" w:sz="4" w:space="0" w:color="auto"/>
              <w:right w:val="single" w:sz="4" w:space="0" w:color="auto"/>
            </w:tcBorders>
            <w:shd w:val="clear" w:color="auto" w:fill="auto"/>
            <w:noWrap/>
            <w:vAlign w:val="center"/>
            <w:hideMark/>
          </w:tcPr>
          <w:p w14:paraId="0D4FC12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4.000.807.954 </w:t>
            </w:r>
          </w:p>
        </w:tc>
      </w:tr>
      <w:tr w:rsidR="00826439" w:rsidRPr="00826439" w14:paraId="36094092"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893919B"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110</w:t>
            </w:r>
          </w:p>
        </w:tc>
        <w:tc>
          <w:tcPr>
            <w:tcW w:w="1160" w:type="dxa"/>
            <w:tcBorders>
              <w:top w:val="nil"/>
              <w:left w:val="nil"/>
              <w:bottom w:val="single" w:sz="4" w:space="0" w:color="auto"/>
              <w:right w:val="single" w:sz="4" w:space="0" w:color="auto"/>
            </w:tcBorders>
            <w:shd w:val="clear" w:color="auto" w:fill="auto"/>
            <w:noWrap/>
            <w:vAlign w:val="center"/>
            <w:hideMark/>
          </w:tcPr>
          <w:p w14:paraId="204590A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AVVILLAS</w:t>
            </w:r>
          </w:p>
        </w:tc>
        <w:tc>
          <w:tcPr>
            <w:tcW w:w="1480" w:type="dxa"/>
            <w:tcBorders>
              <w:top w:val="nil"/>
              <w:left w:val="nil"/>
              <w:bottom w:val="single" w:sz="4" w:space="0" w:color="auto"/>
              <w:right w:val="single" w:sz="4" w:space="0" w:color="auto"/>
            </w:tcBorders>
            <w:shd w:val="clear" w:color="auto" w:fill="auto"/>
            <w:noWrap/>
            <w:vAlign w:val="center"/>
            <w:hideMark/>
          </w:tcPr>
          <w:p w14:paraId="27CBD42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17.000.000.000 </w:t>
            </w:r>
          </w:p>
        </w:tc>
        <w:tc>
          <w:tcPr>
            <w:tcW w:w="640" w:type="dxa"/>
            <w:tcBorders>
              <w:top w:val="nil"/>
              <w:left w:val="nil"/>
              <w:bottom w:val="single" w:sz="4" w:space="0" w:color="auto"/>
              <w:right w:val="single" w:sz="4" w:space="0" w:color="auto"/>
            </w:tcBorders>
            <w:shd w:val="clear" w:color="auto" w:fill="auto"/>
            <w:noWrap/>
            <w:vAlign w:val="center"/>
            <w:hideMark/>
          </w:tcPr>
          <w:p w14:paraId="5196A27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139473</w:t>
            </w:r>
          </w:p>
        </w:tc>
        <w:tc>
          <w:tcPr>
            <w:tcW w:w="840" w:type="dxa"/>
            <w:tcBorders>
              <w:top w:val="nil"/>
              <w:left w:val="nil"/>
              <w:bottom w:val="single" w:sz="4" w:space="0" w:color="auto"/>
              <w:right w:val="single" w:sz="4" w:space="0" w:color="auto"/>
            </w:tcBorders>
            <w:shd w:val="clear" w:color="auto" w:fill="auto"/>
            <w:noWrap/>
            <w:vAlign w:val="center"/>
            <w:hideMark/>
          </w:tcPr>
          <w:p w14:paraId="1AE2FE28"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240</w:t>
            </w:r>
          </w:p>
        </w:tc>
        <w:tc>
          <w:tcPr>
            <w:tcW w:w="760" w:type="dxa"/>
            <w:tcBorders>
              <w:top w:val="nil"/>
              <w:left w:val="nil"/>
              <w:bottom w:val="single" w:sz="4" w:space="0" w:color="auto"/>
              <w:right w:val="single" w:sz="4" w:space="0" w:color="auto"/>
            </w:tcBorders>
            <w:shd w:val="clear" w:color="auto" w:fill="auto"/>
            <w:noWrap/>
            <w:vAlign w:val="center"/>
            <w:hideMark/>
          </w:tcPr>
          <w:p w14:paraId="113CF8FC"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6B2894B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5,01%</w:t>
            </w:r>
          </w:p>
        </w:tc>
        <w:tc>
          <w:tcPr>
            <w:tcW w:w="760" w:type="dxa"/>
            <w:tcBorders>
              <w:top w:val="nil"/>
              <w:left w:val="nil"/>
              <w:bottom w:val="single" w:sz="4" w:space="0" w:color="auto"/>
              <w:right w:val="single" w:sz="4" w:space="0" w:color="auto"/>
            </w:tcBorders>
            <w:shd w:val="clear" w:color="auto" w:fill="auto"/>
            <w:noWrap/>
            <w:vAlign w:val="center"/>
            <w:hideMark/>
          </w:tcPr>
          <w:p w14:paraId="0EDE210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2019/12/13</w:t>
            </w:r>
          </w:p>
        </w:tc>
        <w:tc>
          <w:tcPr>
            <w:tcW w:w="960" w:type="dxa"/>
            <w:tcBorders>
              <w:top w:val="nil"/>
              <w:left w:val="nil"/>
              <w:bottom w:val="single" w:sz="4" w:space="0" w:color="auto"/>
              <w:right w:val="single" w:sz="4" w:space="0" w:color="auto"/>
            </w:tcBorders>
            <w:shd w:val="clear" w:color="auto" w:fill="auto"/>
            <w:noWrap/>
            <w:vAlign w:val="center"/>
            <w:hideMark/>
          </w:tcPr>
          <w:p w14:paraId="7AA5B6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2020/08/13</w:t>
            </w:r>
          </w:p>
        </w:tc>
        <w:tc>
          <w:tcPr>
            <w:tcW w:w="1540" w:type="dxa"/>
            <w:tcBorders>
              <w:top w:val="nil"/>
              <w:left w:val="nil"/>
              <w:bottom w:val="single" w:sz="4" w:space="0" w:color="auto"/>
              <w:right w:val="single" w:sz="4" w:space="0" w:color="auto"/>
            </w:tcBorders>
            <w:shd w:val="clear" w:color="auto" w:fill="auto"/>
            <w:noWrap/>
            <w:vAlign w:val="center"/>
            <w:hideMark/>
          </w:tcPr>
          <w:p w14:paraId="425445D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17.041.409.478 </w:t>
            </w:r>
          </w:p>
        </w:tc>
      </w:tr>
      <w:tr w:rsidR="00826439" w:rsidRPr="00826439" w14:paraId="37BA9071"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BFF0299"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111</w:t>
            </w:r>
          </w:p>
        </w:tc>
        <w:tc>
          <w:tcPr>
            <w:tcW w:w="1160" w:type="dxa"/>
            <w:tcBorders>
              <w:top w:val="nil"/>
              <w:left w:val="nil"/>
              <w:bottom w:val="single" w:sz="4" w:space="0" w:color="auto"/>
              <w:right w:val="single" w:sz="4" w:space="0" w:color="auto"/>
            </w:tcBorders>
            <w:shd w:val="clear" w:color="auto" w:fill="auto"/>
            <w:noWrap/>
            <w:vAlign w:val="center"/>
            <w:hideMark/>
          </w:tcPr>
          <w:p w14:paraId="21136E1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01733F4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22.000.000.000 </w:t>
            </w:r>
          </w:p>
        </w:tc>
        <w:tc>
          <w:tcPr>
            <w:tcW w:w="640" w:type="dxa"/>
            <w:tcBorders>
              <w:top w:val="nil"/>
              <w:left w:val="nil"/>
              <w:bottom w:val="single" w:sz="4" w:space="0" w:color="auto"/>
              <w:right w:val="single" w:sz="4" w:space="0" w:color="auto"/>
            </w:tcBorders>
            <w:shd w:val="clear" w:color="auto" w:fill="auto"/>
            <w:noWrap/>
            <w:vAlign w:val="center"/>
            <w:hideMark/>
          </w:tcPr>
          <w:p w14:paraId="3D4F2EE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138490</w:t>
            </w:r>
          </w:p>
        </w:tc>
        <w:tc>
          <w:tcPr>
            <w:tcW w:w="840" w:type="dxa"/>
            <w:tcBorders>
              <w:top w:val="nil"/>
              <w:left w:val="nil"/>
              <w:bottom w:val="single" w:sz="4" w:space="0" w:color="auto"/>
              <w:right w:val="single" w:sz="4" w:space="0" w:color="auto"/>
            </w:tcBorders>
            <w:shd w:val="clear" w:color="auto" w:fill="auto"/>
            <w:noWrap/>
            <w:vAlign w:val="center"/>
            <w:hideMark/>
          </w:tcPr>
          <w:p w14:paraId="21C64E66"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4FBA6A22"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3D86745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5,02%</w:t>
            </w:r>
          </w:p>
        </w:tc>
        <w:tc>
          <w:tcPr>
            <w:tcW w:w="760" w:type="dxa"/>
            <w:tcBorders>
              <w:top w:val="nil"/>
              <w:left w:val="nil"/>
              <w:bottom w:val="single" w:sz="4" w:space="0" w:color="auto"/>
              <w:right w:val="single" w:sz="4" w:space="0" w:color="auto"/>
            </w:tcBorders>
            <w:shd w:val="clear" w:color="auto" w:fill="auto"/>
            <w:noWrap/>
            <w:vAlign w:val="center"/>
            <w:hideMark/>
          </w:tcPr>
          <w:p w14:paraId="6A2A0D36"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2019/11/29</w:t>
            </w:r>
          </w:p>
        </w:tc>
        <w:tc>
          <w:tcPr>
            <w:tcW w:w="960" w:type="dxa"/>
            <w:tcBorders>
              <w:top w:val="nil"/>
              <w:left w:val="nil"/>
              <w:bottom w:val="single" w:sz="4" w:space="0" w:color="auto"/>
              <w:right w:val="single" w:sz="4" w:space="0" w:color="auto"/>
            </w:tcBorders>
            <w:shd w:val="clear" w:color="auto" w:fill="auto"/>
            <w:noWrap/>
            <w:vAlign w:val="center"/>
            <w:hideMark/>
          </w:tcPr>
          <w:p w14:paraId="6A49C82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2020/08/26</w:t>
            </w:r>
          </w:p>
        </w:tc>
        <w:tc>
          <w:tcPr>
            <w:tcW w:w="1540" w:type="dxa"/>
            <w:tcBorders>
              <w:top w:val="nil"/>
              <w:left w:val="nil"/>
              <w:bottom w:val="single" w:sz="4" w:space="0" w:color="auto"/>
              <w:right w:val="single" w:sz="4" w:space="0" w:color="auto"/>
            </w:tcBorders>
            <w:shd w:val="clear" w:color="auto" w:fill="auto"/>
            <w:noWrap/>
            <w:vAlign w:val="center"/>
            <w:hideMark/>
          </w:tcPr>
          <w:p w14:paraId="2B8F68F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22.095.228.674 </w:t>
            </w:r>
          </w:p>
        </w:tc>
      </w:tr>
      <w:tr w:rsidR="00826439" w:rsidRPr="00826439" w14:paraId="1478F7EC"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B44082F"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112</w:t>
            </w:r>
          </w:p>
        </w:tc>
        <w:tc>
          <w:tcPr>
            <w:tcW w:w="1160" w:type="dxa"/>
            <w:tcBorders>
              <w:top w:val="nil"/>
              <w:left w:val="nil"/>
              <w:bottom w:val="single" w:sz="4" w:space="0" w:color="auto"/>
              <w:right w:val="single" w:sz="4" w:space="0" w:color="auto"/>
            </w:tcBorders>
            <w:shd w:val="clear" w:color="auto" w:fill="auto"/>
            <w:noWrap/>
            <w:vAlign w:val="center"/>
            <w:hideMark/>
          </w:tcPr>
          <w:p w14:paraId="4BFAB157"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6B722E45"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20.000.000.000 </w:t>
            </w:r>
          </w:p>
        </w:tc>
        <w:tc>
          <w:tcPr>
            <w:tcW w:w="640" w:type="dxa"/>
            <w:tcBorders>
              <w:top w:val="nil"/>
              <w:left w:val="nil"/>
              <w:bottom w:val="single" w:sz="4" w:space="0" w:color="auto"/>
              <w:right w:val="single" w:sz="4" w:space="0" w:color="auto"/>
            </w:tcBorders>
            <w:shd w:val="clear" w:color="auto" w:fill="auto"/>
            <w:noWrap/>
            <w:vAlign w:val="center"/>
            <w:hideMark/>
          </w:tcPr>
          <w:p w14:paraId="1665FAD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139755</w:t>
            </w:r>
          </w:p>
        </w:tc>
        <w:tc>
          <w:tcPr>
            <w:tcW w:w="840" w:type="dxa"/>
            <w:tcBorders>
              <w:top w:val="nil"/>
              <w:left w:val="nil"/>
              <w:bottom w:val="single" w:sz="4" w:space="0" w:color="auto"/>
              <w:right w:val="single" w:sz="4" w:space="0" w:color="auto"/>
            </w:tcBorders>
            <w:shd w:val="clear" w:color="auto" w:fill="auto"/>
            <w:noWrap/>
            <w:vAlign w:val="center"/>
            <w:hideMark/>
          </w:tcPr>
          <w:p w14:paraId="6154C1A0"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274</w:t>
            </w:r>
          </w:p>
        </w:tc>
        <w:tc>
          <w:tcPr>
            <w:tcW w:w="760" w:type="dxa"/>
            <w:tcBorders>
              <w:top w:val="nil"/>
              <w:left w:val="nil"/>
              <w:bottom w:val="single" w:sz="4" w:space="0" w:color="auto"/>
              <w:right w:val="single" w:sz="4" w:space="0" w:color="auto"/>
            </w:tcBorders>
            <w:shd w:val="clear" w:color="auto" w:fill="auto"/>
            <w:noWrap/>
            <w:vAlign w:val="center"/>
            <w:hideMark/>
          </w:tcPr>
          <w:p w14:paraId="0B9507D2"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5,05%</w:t>
            </w:r>
          </w:p>
        </w:tc>
        <w:tc>
          <w:tcPr>
            <w:tcW w:w="820" w:type="dxa"/>
            <w:tcBorders>
              <w:top w:val="nil"/>
              <w:left w:val="nil"/>
              <w:bottom w:val="single" w:sz="4" w:space="0" w:color="auto"/>
              <w:right w:val="single" w:sz="4" w:space="0" w:color="auto"/>
            </w:tcBorders>
            <w:shd w:val="clear" w:color="auto" w:fill="auto"/>
            <w:noWrap/>
            <w:vAlign w:val="center"/>
            <w:hideMark/>
          </w:tcPr>
          <w:p w14:paraId="6F59BDF5"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5,02%</w:t>
            </w:r>
          </w:p>
        </w:tc>
        <w:tc>
          <w:tcPr>
            <w:tcW w:w="760" w:type="dxa"/>
            <w:tcBorders>
              <w:top w:val="nil"/>
              <w:left w:val="nil"/>
              <w:bottom w:val="single" w:sz="4" w:space="0" w:color="auto"/>
              <w:right w:val="single" w:sz="4" w:space="0" w:color="auto"/>
            </w:tcBorders>
            <w:shd w:val="clear" w:color="auto" w:fill="auto"/>
            <w:noWrap/>
            <w:vAlign w:val="center"/>
            <w:hideMark/>
          </w:tcPr>
          <w:p w14:paraId="60D9427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2019/12/11</w:t>
            </w:r>
          </w:p>
        </w:tc>
        <w:tc>
          <w:tcPr>
            <w:tcW w:w="960" w:type="dxa"/>
            <w:tcBorders>
              <w:top w:val="nil"/>
              <w:left w:val="nil"/>
              <w:bottom w:val="single" w:sz="4" w:space="0" w:color="auto"/>
              <w:right w:val="single" w:sz="4" w:space="0" w:color="auto"/>
            </w:tcBorders>
            <w:shd w:val="clear" w:color="auto" w:fill="auto"/>
            <w:noWrap/>
            <w:vAlign w:val="center"/>
            <w:hideMark/>
          </w:tcPr>
          <w:p w14:paraId="09D776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2020/09/11</w:t>
            </w:r>
          </w:p>
        </w:tc>
        <w:tc>
          <w:tcPr>
            <w:tcW w:w="1540" w:type="dxa"/>
            <w:tcBorders>
              <w:top w:val="nil"/>
              <w:left w:val="nil"/>
              <w:bottom w:val="single" w:sz="4" w:space="0" w:color="auto"/>
              <w:right w:val="single" w:sz="4" w:space="0" w:color="auto"/>
            </w:tcBorders>
            <w:shd w:val="clear" w:color="auto" w:fill="auto"/>
            <w:noWrap/>
            <w:vAlign w:val="center"/>
            <w:hideMark/>
          </w:tcPr>
          <w:p w14:paraId="29E6C0A3"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20.054.063.777 </w:t>
            </w:r>
          </w:p>
        </w:tc>
      </w:tr>
      <w:tr w:rsidR="00826439" w:rsidRPr="00826439" w14:paraId="09DF1205"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FCBCFE1"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113</w:t>
            </w:r>
          </w:p>
        </w:tc>
        <w:tc>
          <w:tcPr>
            <w:tcW w:w="1160" w:type="dxa"/>
            <w:tcBorders>
              <w:top w:val="nil"/>
              <w:left w:val="nil"/>
              <w:bottom w:val="single" w:sz="4" w:space="0" w:color="auto"/>
              <w:right w:val="single" w:sz="4" w:space="0" w:color="auto"/>
            </w:tcBorders>
            <w:shd w:val="clear" w:color="auto" w:fill="auto"/>
            <w:noWrap/>
            <w:vAlign w:val="center"/>
            <w:hideMark/>
          </w:tcPr>
          <w:p w14:paraId="48F2DEF4"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BOGOTA</w:t>
            </w:r>
          </w:p>
        </w:tc>
        <w:tc>
          <w:tcPr>
            <w:tcW w:w="1480" w:type="dxa"/>
            <w:tcBorders>
              <w:top w:val="nil"/>
              <w:left w:val="nil"/>
              <w:bottom w:val="single" w:sz="4" w:space="0" w:color="auto"/>
              <w:right w:val="single" w:sz="4" w:space="0" w:color="auto"/>
            </w:tcBorders>
            <w:shd w:val="clear" w:color="auto" w:fill="auto"/>
            <w:noWrap/>
            <w:vAlign w:val="center"/>
            <w:hideMark/>
          </w:tcPr>
          <w:p w14:paraId="286005F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10.000.000.000 </w:t>
            </w:r>
          </w:p>
        </w:tc>
        <w:tc>
          <w:tcPr>
            <w:tcW w:w="640" w:type="dxa"/>
            <w:tcBorders>
              <w:top w:val="nil"/>
              <w:left w:val="nil"/>
              <w:bottom w:val="single" w:sz="4" w:space="0" w:color="auto"/>
              <w:right w:val="single" w:sz="4" w:space="0" w:color="auto"/>
            </w:tcBorders>
            <w:shd w:val="clear" w:color="auto" w:fill="auto"/>
            <w:noWrap/>
            <w:vAlign w:val="center"/>
            <w:hideMark/>
          </w:tcPr>
          <w:p w14:paraId="06D2A27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139754</w:t>
            </w:r>
          </w:p>
        </w:tc>
        <w:tc>
          <w:tcPr>
            <w:tcW w:w="840" w:type="dxa"/>
            <w:tcBorders>
              <w:top w:val="nil"/>
              <w:left w:val="nil"/>
              <w:bottom w:val="single" w:sz="4" w:space="0" w:color="auto"/>
              <w:right w:val="single" w:sz="4" w:space="0" w:color="auto"/>
            </w:tcBorders>
            <w:shd w:val="clear" w:color="auto" w:fill="auto"/>
            <w:noWrap/>
            <w:vAlign w:val="center"/>
            <w:hideMark/>
          </w:tcPr>
          <w:p w14:paraId="59AF63C1"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270</w:t>
            </w:r>
          </w:p>
        </w:tc>
        <w:tc>
          <w:tcPr>
            <w:tcW w:w="760" w:type="dxa"/>
            <w:tcBorders>
              <w:top w:val="nil"/>
              <w:left w:val="nil"/>
              <w:bottom w:val="single" w:sz="4" w:space="0" w:color="auto"/>
              <w:right w:val="single" w:sz="4" w:space="0" w:color="auto"/>
            </w:tcBorders>
            <w:shd w:val="clear" w:color="auto" w:fill="auto"/>
            <w:noWrap/>
            <w:vAlign w:val="center"/>
            <w:hideMark/>
          </w:tcPr>
          <w:p w14:paraId="3892C99E"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5,20%</w:t>
            </w:r>
          </w:p>
        </w:tc>
        <w:tc>
          <w:tcPr>
            <w:tcW w:w="820" w:type="dxa"/>
            <w:tcBorders>
              <w:top w:val="nil"/>
              <w:left w:val="nil"/>
              <w:bottom w:val="single" w:sz="4" w:space="0" w:color="auto"/>
              <w:right w:val="single" w:sz="4" w:space="0" w:color="auto"/>
            </w:tcBorders>
            <w:shd w:val="clear" w:color="auto" w:fill="auto"/>
            <w:noWrap/>
            <w:vAlign w:val="center"/>
            <w:hideMark/>
          </w:tcPr>
          <w:p w14:paraId="724D7874"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5,17%</w:t>
            </w:r>
          </w:p>
        </w:tc>
        <w:tc>
          <w:tcPr>
            <w:tcW w:w="760" w:type="dxa"/>
            <w:tcBorders>
              <w:top w:val="nil"/>
              <w:left w:val="nil"/>
              <w:bottom w:val="single" w:sz="4" w:space="0" w:color="auto"/>
              <w:right w:val="single" w:sz="4" w:space="0" w:color="auto"/>
            </w:tcBorders>
            <w:shd w:val="clear" w:color="auto" w:fill="auto"/>
            <w:noWrap/>
            <w:vAlign w:val="center"/>
            <w:hideMark/>
          </w:tcPr>
          <w:p w14:paraId="2112F3F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2019/12/11</w:t>
            </w:r>
          </w:p>
        </w:tc>
        <w:tc>
          <w:tcPr>
            <w:tcW w:w="960" w:type="dxa"/>
            <w:tcBorders>
              <w:top w:val="nil"/>
              <w:left w:val="nil"/>
              <w:bottom w:val="single" w:sz="4" w:space="0" w:color="auto"/>
              <w:right w:val="single" w:sz="4" w:space="0" w:color="auto"/>
            </w:tcBorders>
            <w:shd w:val="clear" w:color="auto" w:fill="auto"/>
            <w:noWrap/>
            <w:vAlign w:val="center"/>
            <w:hideMark/>
          </w:tcPr>
          <w:p w14:paraId="6F267EC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2020/09/11</w:t>
            </w:r>
          </w:p>
        </w:tc>
        <w:tc>
          <w:tcPr>
            <w:tcW w:w="1540" w:type="dxa"/>
            <w:tcBorders>
              <w:top w:val="nil"/>
              <w:left w:val="nil"/>
              <w:bottom w:val="single" w:sz="4" w:space="0" w:color="auto"/>
              <w:right w:val="single" w:sz="4" w:space="0" w:color="auto"/>
            </w:tcBorders>
            <w:shd w:val="clear" w:color="auto" w:fill="auto"/>
            <w:noWrap/>
            <w:vAlign w:val="center"/>
            <w:hideMark/>
          </w:tcPr>
          <w:p w14:paraId="32DAAB01"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10.027.806.570 </w:t>
            </w:r>
          </w:p>
        </w:tc>
      </w:tr>
      <w:tr w:rsidR="00826439" w:rsidRPr="00826439" w14:paraId="25D9319A"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C2F65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114</w:t>
            </w:r>
          </w:p>
        </w:tc>
        <w:tc>
          <w:tcPr>
            <w:tcW w:w="1160" w:type="dxa"/>
            <w:tcBorders>
              <w:top w:val="nil"/>
              <w:left w:val="nil"/>
              <w:bottom w:val="single" w:sz="4" w:space="0" w:color="auto"/>
              <w:right w:val="single" w:sz="4" w:space="0" w:color="auto"/>
            </w:tcBorders>
            <w:shd w:val="clear" w:color="auto" w:fill="auto"/>
            <w:noWrap/>
            <w:vAlign w:val="center"/>
            <w:hideMark/>
          </w:tcPr>
          <w:p w14:paraId="4B70A3F2"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 POPULAR</w:t>
            </w:r>
          </w:p>
        </w:tc>
        <w:tc>
          <w:tcPr>
            <w:tcW w:w="1480" w:type="dxa"/>
            <w:tcBorders>
              <w:top w:val="nil"/>
              <w:left w:val="nil"/>
              <w:bottom w:val="single" w:sz="4" w:space="0" w:color="auto"/>
              <w:right w:val="single" w:sz="4" w:space="0" w:color="auto"/>
            </w:tcBorders>
            <w:shd w:val="clear" w:color="auto" w:fill="auto"/>
            <w:noWrap/>
            <w:vAlign w:val="center"/>
            <w:hideMark/>
          </w:tcPr>
          <w:p w14:paraId="3B4E53EE"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29.000.000.000 </w:t>
            </w:r>
          </w:p>
        </w:tc>
        <w:tc>
          <w:tcPr>
            <w:tcW w:w="640" w:type="dxa"/>
            <w:tcBorders>
              <w:top w:val="nil"/>
              <w:left w:val="nil"/>
              <w:bottom w:val="single" w:sz="4" w:space="0" w:color="auto"/>
              <w:right w:val="single" w:sz="4" w:space="0" w:color="auto"/>
            </w:tcBorders>
            <w:shd w:val="clear" w:color="auto" w:fill="auto"/>
            <w:noWrap/>
            <w:vAlign w:val="center"/>
            <w:hideMark/>
          </w:tcPr>
          <w:p w14:paraId="46F6A33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139831</w:t>
            </w:r>
          </w:p>
        </w:tc>
        <w:tc>
          <w:tcPr>
            <w:tcW w:w="840" w:type="dxa"/>
            <w:tcBorders>
              <w:top w:val="nil"/>
              <w:left w:val="nil"/>
              <w:bottom w:val="single" w:sz="4" w:space="0" w:color="auto"/>
              <w:right w:val="single" w:sz="4" w:space="0" w:color="auto"/>
            </w:tcBorders>
            <w:shd w:val="clear" w:color="auto" w:fill="auto"/>
            <w:noWrap/>
            <w:vAlign w:val="center"/>
            <w:hideMark/>
          </w:tcPr>
          <w:p w14:paraId="7EE0089C"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300</w:t>
            </w:r>
          </w:p>
        </w:tc>
        <w:tc>
          <w:tcPr>
            <w:tcW w:w="760" w:type="dxa"/>
            <w:tcBorders>
              <w:top w:val="nil"/>
              <w:left w:val="nil"/>
              <w:bottom w:val="single" w:sz="4" w:space="0" w:color="auto"/>
              <w:right w:val="single" w:sz="4" w:space="0" w:color="auto"/>
            </w:tcBorders>
            <w:shd w:val="clear" w:color="auto" w:fill="auto"/>
            <w:noWrap/>
            <w:vAlign w:val="center"/>
            <w:hideMark/>
          </w:tcPr>
          <w:p w14:paraId="73B73923"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5,15%</w:t>
            </w:r>
          </w:p>
        </w:tc>
        <w:tc>
          <w:tcPr>
            <w:tcW w:w="820" w:type="dxa"/>
            <w:tcBorders>
              <w:top w:val="nil"/>
              <w:left w:val="nil"/>
              <w:bottom w:val="single" w:sz="4" w:space="0" w:color="auto"/>
              <w:right w:val="single" w:sz="4" w:space="0" w:color="auto"/>
            </w:tcBorders>
            <w:shd w:val="clear" w:color="auto" w:fill="auto"/>
            <w:noWrap/>
            <w:vAlign w:val="center"/>
            <w:hideMark/>
          </w:tcPr>
          <w:p w14:paraId="5717E64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5,13%</w:t>
            </w:r>
          </w:p>
        </w:tc>
        <w:tc>
          <w:tcPr>
            <w:tcW w:w="760" w:type="dxa"/>
            <w:tcBorders>
              <w:top w:val="nil"/>
              <w:left w:val="nil"/>
              <w:bottom w:val="single" w:sz="4" w:space="0" w:color="auto"/>
              <w:right w:val="single" w:sz="4" w:space="0" w:color="auto"/>
            </w:tcBorders>
            <w:shd w:val="clear" w:color="auto" w:fill="auto"/>
            <w:noWrap/>
            <w:vAlign w:val="center"/>
            <w:hideMark/>
          </w:tcPr>
          <w:p w14:paraId="4AEA27A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2019/12/19</w:t>
            </w:r>
          </w:p>
        </w:tc>
        <w:tc>
          <w:tcPr>
            <w:tcW w:w="960" w:type="dxa"/>
            <w:tcBorders>
              <w:top w:val="nil"/>
              <w:left w:val="nil"/>
              <w:bottom w:val="single" w:sz="4" w:space="0" w:color="auto"/>
              <w:right w:val="single" w:sz="4" w:space="0" w:color="auto"/>
            </w:tcBorders>
            <w:shd w:val="clear" w:color="auto" w:fill="auto"/>
            <w:noWrap/>
            <w:vAlign w:val="center"/>
            <w:hideMark/>
          </w:tcPr>
          <w:p w14:paraId="14002729"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2020/10/19</w:t>
            </w:r>
          </w:p>
        </w:tc>
        <w:tc>
          <w:tcPr>
            <w:tcW w:w="1540" w:type="dxa"/>
            <w:tcBorders>
              <w:top w:val="nil"/>
              <w:left w:val="nil"/>
              <w:bottom w:val="single" w:sz="4" w:space="0" w:color="auto"/>
              <w:right w:val="single" w:sz="4" w:space="0" w:color="auto"/>
            </w:tcBorders>
            <w:shd w:val="clear" w:color="auto" w:fill="auto"/>
            <w:noWrap/>
            <w:vAlign w:val="center"/>
            <w:hideMark/>
          </w:tcPr>
          <w:p w14:paraId="64EAFC2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29.047.944.381 </w:t>
            </w:r>
          </w:p>
        </w:tc>
      </w:tr>
      <w:tr w:rsidR="00826439" w:rsidRPr="00826439" w14:paraId="3B963A14"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8509FF6"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115</w:t>
            </w:r>
          </w:p>
        </w:tc>
        <w:tc>
          <w:tcPr>
            <w:tcW w:w="1160" w:type="dxa"/>
            <w:tcBorders>
              <w:top w:val="nil"/>
              <w:left w:val="nil"/>
              <w:bottom w:val="single" w:sz="4" w:space="0" w:color="auto"/>
              <w:right w:val="single" w:sz="4" w:space="0" w:color="auto"/>
            </w:tcBorders>
            <w:shd w:val="clear" w:color="auto" w:fill="auto"/>
            <w:noWrap/>
            <w:vAlign w:val="center"/>
            <w:hideMark/>
          </w:tcPr>
          <w:p w14:paraId="681570F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199C84D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24.000.000.000 </w:t>
            </w:r>
          </w:p>
        </w:tc>
        <w:tc>
          <w:tcPr>
            <w:tcW w:w="640" w:type="dxa"/>
            <w:tcBorders>
              <w:top w:val="nil"/>
              <w:left w:val="nil"/>
              <w:bottom w:val="single" w:sz="4" w:space="0" w:color="auto"/>
              <w:right w:val="single" w:sz="4" w:space="0" w:color="auto"/>
            </w:tcBorders>
            <w:shd w:val="clear" w:color="auto" w:fill="auto"/>
            <w:noWrap/>
            <w:vAlign w:val="center"/>
            <w:hideMark/>
          </w:tcPr>
          <w:p w14:paraId="24A0C0F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139758</w:t>
            </w:r>
          </w:p>
        </w:tc>
        <w:tc>
          <w:tcPr>
            <w:tcW w:w="840" w:type="dxa"/>
            <w:tcBorders>
              <w:top w:val="nil"/>
              <w:left w:val="nil"/>
              <w:bottom w:val="single" w:sz="4" w:space="0" w:color="auto"/>
              <w:right w:val="single" w:sz="4" w:space="0" w:color="auto"/>
            </w:tcBorders>
            <w:shd w:val="clear" w:color="auto" w:fill="auto"/>
            <w:noWrap/>
            <w:vAlign w:val="center"/>
            <w:hideMark/>
          </w:tcPr>
          <w:p w14:paraId="46167DB2"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330</w:t>
            </w:r>
          </w:p>
        </w:tc>
        <w:tc>
          <w:tcPr>
            <w:tcW w:w="760" w:type="dxa"/>
            <w:tcBorders>
              <w:top w:val="nil"/>
              <w:left w:val="nil"/>
              <w:bottom w:val="single" w:sz="4" w:space="0" w:color="auto"/>
              <w:right w:val="single" w:sz="4" w:space="0" w:color="auto"/>
            </w:tcBorders>
            <w:shd w:val="clear" w:color="auto" w:fill="auto"/>
            <w:noWrap/>
            <w:vAlign w:val="center"/>
            <w:hideMark/>
          </w:tcPr>
          <w:p w14:paraId="67E0EC94"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820" w:type="dxa"/>
            <w:tcBorders>
              <w:top w:val="nil"/>
              <w:left w:val="nil"/>
              <w:bottom w:val="single" w:sz="4" w:space="0" w:color="auto"/>
              <w:right w:val="single" w:sz="4" w:space="0" w:color="auto"/>
            </w:tcBorders>
            <w:shd w:val="clear" w:color="auto" w:fill="auto"/>
            <w:noWrap/>
            <w:vAlign w:val="center"/>
            <w:hideMark/>
          </w:tcPr>
          <w:p w14:paraId="3AE0DE94"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5,29%</w:t>
            </w:r>
          </w:p>
        </w:tc>
        <w:tc>
          <w:tcPr>
            <w:tcW w:w="760" w:type="dxa"/>
            <w:tcBorders>
              <w:top w:val="nil"/>
              <w:left w:val="nil"/>
              <w:bottom w:val="single" w:sz="4" w:space="0" w:color="auto"/>
              <w:right w:val="single" w:sz="4" w:space="0" w:color="auto"/>
            </w:tcBorders>
            <w:shd w:val="clear" w:color="auto" w:fill="auto"/>
            <w:noWrap/>
            <w:vAlign w:val="center"/>
            <w:hideMark/>
          </w:tcPr>
          <w:p w14:paraId="5FC7B46C"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2019/12/17</w:t>
            </w:r>
          </w:p>
        </w:tc>
        <w:tc>
          <w:tcPr>
            <w:tcW w:w="960" w:type="dxa"/>
            <w:tcBorders>
              <w:top w:val="nil"/>
              <w:left w:val="nil"/>
              <w:bottom w:val="single" w:sz="4" w:space="0" w:color="auto"/>
              <w:right w:val="single" w:sz="4" w:space="0" w:color="auto"/>
            </w:tcBorders>
            <w:shd w:val="clear" w:color="auto" w:fill="auto"/>
            <w:noWrap/>
            <w:vAlign w:val="center"/>
            <w:hideMark/>
          </w:tcPr>
          <w:p w14:paraId="0B617937"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2020/11/17</w:t>
            </w:r>
          </w:p>
        </w:tc>
        <w:tc>
          <w:tcPr>
            <w:tcW w:w="1540" w:type="dxa"/>
            <w:tcBorders>
              <w:top w:val="nil"/>
              <w:left w:val="nil"/>
              <w:bottom w:val="single" w:sz="4" w:space="0" w:color="auto"/>
              <w:right w:val="single" w:sz="4" w:space="0" w:color="auto"/>
            </w:tcBorders>
            <w:shd w:val="clear" w:color="auto" w:fill="auto"/>
            <w:noWrap/>
            <w:vAlign w:val="center"/>
            <w:hideMark/>
          </w:tcPr>
          <w:p w14:paraId="3573EEA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24.047.532.213 </w:t>
            </w:r>
          </w:p>
        </w:tc>
      </w:tr>
      <w:tr w:rsidR="00826439" w:rsidRPr="00826439" w14:paraId="4786A340"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D3EF5D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116</w:t>
            </w:r>
          </w:p>
        </w:tc>
        <w:tc>
          <w:tcPr>
            <w:tcW w:w="1160" w:type="dxa"/>
            <w:tcBorders>
              <w:top w:val="nil"/>
              <w:left w:val="nil"/>
              <w:bottom w:val="single" w:sz="4" w:space="0" w:color="auto"/>
              <w:right w:val="single" w:sz="4" w:space="0" w:color="auto"/>
            </w:tcBorders>
            <w:shd w:val="clear" w:color="auto" w:fill="auto"/>
            <w:noWrap/>
            <w:vAlign w:val="center"/>
            <w:hideMark/>
          </w:tcPr>
          <w:p w14:paraId="436949FD"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39483A7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11.000.000.000 </w:t>
            </w:r>
          </w:p>
        </w:tc>
        <w:tc>
          <w:tcPr>
            <w:tcW w:w="640" w:type="dxa"/>
            <w:tcBorders>
              <w:top w:val="nil"/>
              <w:left w:val="nil"/>
              <w:bottom w:val="single" w:sz="4" w:space="0" w:color="auto"/>
              <w:right w:val="single" w:sz="4" w:space="0" w:color="auto"/>
            </w:tcBorders>
            <w:shd w:val="clear" w:color="auto" w:fill="auto"/>
            <w:noWrap/>
            <w:vAlign w:val="center"/>
            <w:hideMark/>
          </w:tcPr>
          <w:p w14:paraId="22F6B820"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139830</w:t>
            </w:r>
          </w:p>
        </w:tc>
        <w:tc>
          <w:tcPr>
            <w:tcW w:w="840" w:type="dxa"/>
            <w:tcBorders>
              <w:top w:val="nil"/>
              <w:left w:val="nil"/>
              <w:bottom w:val="single" w:sz="4" w:space="0" w:color="auto"/>
              <w:right w:val="single" w:sz="4" w:space="0" w:color="auto"/>
            </w:tcBorders>
            <w:shd w:val="clear" w:color="auto" w:fill="auto"/>
            <w:noWrap/>
            <w:vAlign w:val="center"/>
            <w:hideMark/>
          </w:tcPr>
          <w:p w14:paraId="6E026A81"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330</w:t>
            </w:r>
          </w:p>
        </w:tc>
        <w:tc>
          <w:tcPr>
            <w:tcW w:w="760" w:type="dxa"/>
            <w:tcBorders>
              <w:top w:val="nil"/>
              <w:left w:val="nil"/>
              <w:bottom w:val="single" w:sz="4" w:space="0" w:color="auto"/>
              <w:right w:val="single" w:sz="4" w:space="0" w:color="auto"/>
            </w:tcBorders>
            <w:shd w:val="clear" w:color="auto" w:fill="auto"/>
            <w:noWrap/>
            <w:vAlign w:val="center"/>
            <w:hideMark/>
          </w:tcPr>
          <w:p w14:paraId="6DBCD09F"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820" w:type="dxa"/>
            <w:tcBorders>
              <w:top w:val="nil"/>
              <w:left w:val="nil"/>
              <w:bottom w:val="single" w:sz="4" w:space="0" w:color="auto"/>
              <w:right w:val="single" w:sz="4" w:space="0" w:color="auto"/>
            </w:tcBorders>
            <w:shd w:val="clear" w:color="auto" w:fill="auto"/>
            <w:noWrap/>
            <w:vAlign w:val="center"/>
            <w:hideMark/>
          </w:tcPr>
          <w:p w14:paraId="7F9C440B"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5,29%</w:t>
            </w:r>
          </w:p>
        </w:tc>
        <w:tc>
          <w:tcPr>
            <w:tcW w:w="760" w:type="dxa"/>
            <w:tcBorders>
              <w:top w:val="nil"/>
              <w:left w:val="nil"/>
              <w:bottom w:val="single" w:sz="4" w:space="0" w:color="auto"/>
              <w:right w:val="single" w:sz="4" w:space="0" w:color="auto"/>
            </w:tcBorders>
            <w:shd w:val="clear" w:color="auto" w:fill="auto"/>
            <w:noWrap/>
            <w:vAlign w:val="center"/>
            <w:hideMark/>
          </w:tcPr>
          <w:p w14:paraId="28EB439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2019/12/19</w:t>
            </w:r>
          </w:p>
        </w:tc>
        <w:tc>
          <w:tcPr>
            <w:tcW w:w="960" w:type="dxa"/>
            <w:tcBorders>
              <w:top w:val="nil"/>
              <w:left w:val="nil"/>
              <w:bottom w:val="single" w:sz="4" w:space="0" w:color="auto"/>
              <w:right w:val="single" w:sz="4" w:space="0" w:color="auto"/>
            </w:tcBorders>
            <w:shd w:val="clear" w:color="auto" w:fill="auto"/>
            <w:noWrap/>
            <w:vAlign w:val="center"/>
            <w:hideMark/>
          </w:tcPr>
          <w:p w14:paraId="648C0F5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2020/11/19</w:t>
            </w:r>
          </w:p>
        </w:tc>
        <w:tc>
          <w:tcPr>
            <w:tcW w:w="1540" w:type="dxa"/>
            <w:tcBorders>
              <w:top w:val="nil"/>
              <w:left w:val="nil"/>
              <w:bottom w:val="single" w:sz="4" w:space="0" w:color="auto"/>
              <w:right w:val="single" w:sz="4" w:space="0" w:color="auto"/>
            </w:tcBorders>
            <w:shd w:val="clear" w:color="auto" w:fill="auto"/>
            <w:noWrap/>
            <w:vAlign w:val="center"/>
            <w:hideMark/>
          </w:tcPr>
          <w:p w14:paraId="6C34FACE"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11.018.670.730 </w:t>
            </w:r>
          </w:p>
        </w:tc>
      </w:tr>
      <w:tr w:rsidR="00826439" w:rsidRPr="00826439" w14:paraId="2042853E"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331B62E"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117</w:t>
            </w:r>
          </w:p>
        </w:tc>
        <w:tc>
          <w:tcPr>
            <w:tcW w:w="1160" w:type="dxa"/>
            <w:tcBorders>
              <w:top w:val="nil"/>
              <w:left w:val="nil"/>
              <w:bottom w:val="single" w:sz="4" w:space="0" w:color="auto"/>
              <w:right w:val="single" w:sz="4" w:space="0" w:color="auto"/>
            </w:tcBorders>
            <w:shd w:val="clear" w:color="auto" w:fill="auto"/>
            <w:noWrap/>
            <w:vAlign w:val="center"/>
            <w:hideMark/>
          </w:tcPr>
          <w:p w14:paraId="7526B3B6"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68C94560"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16.000.000.000 </w:t>
            </w:r>
          </w:p>
        </w:tc>
        <w:tc>
          <w:tcPr>
            <w:tcW w:w="640" w:type="dxa"/>
            <w:tcBorders>
              <w:top w:val="nil"/>
              <w:left w:val="nil"/>
              <w:bottom w:val="single" w:sz="4" w:space="0" w:color="auto"/>
              <w:right w:val="single" w:sz="4" w:space="0" w:color="auto"/>
            </w:tcBorders>
            <w:shd w:val="clear" w:color="auto" w:fill="auto"/>
            <w:noWrap/>
            <w:vAlign w:val="center"/>
            <w:hideMark/>
          </w:tcPr>
          <w:p w14:paraId="0C77623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139987</w:t>
            </w:r>
          </w:p>
        </w:tc>
        <w:tc>
          <w:tcPr>
            <w:tcW w:w="840" w:type="dxa"/>
            <w:tcBorders>
              <w:top w:val="nil"/>
              <w:left w:val="nil"/>
              <w:bottom w:val="single" w:sz="4" w:space="0" w:color="auto"/>
              <w:right w:val="single" w:sz="4" w:space="0" w:color="auto"/>
            </w:tcBorders>
            <w:shd w:val="clear" w:color="auto" w:fill="auto"/>
            <w:noWrap/>
            <w:vAlign w:val="center"/>
            <w:hideMark/>
          </w:tcPr>
          <w:p w14:paraId="5B00D3B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93</w:t>
            </w:r>
          </w:p>
        </w:tc>
        <w:tc>
          <w:tcPr>
            <w:tcW w:w="760" w:type="dxa"/>
            <w:tcBorders>
              <w:top w:val="nil"/>
              <w:left w:val="nil"/>
              <w:bottom w:val="single" w:sz="4" w:space="0" w:color="auto"/>
              <w:right w:val="single" w:sz="4" w:space="0" w:color="auto"/>
            </w:tcBorders>
            <w:shd w:val="clear" w:color="auto" w:fill="auto"/>
            <w:noWrap/>
            <w:vAlign w:val="center"/>
            <w:hideMark/>
          </w:tcPr>
          <w:p w14:paraId="49C70299"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820" w:type="dxa"/>
            <w:tcBorders>
              <w:top w:val="nil"/>
              <w:left w:val="nil"/>
              <w:bottom w:val="single" w:sz="4" w:space="0" w:color="auto"/>
              <w:right w:val="single" w:sz="4" w:space="0" w:color="auto"/>
            </w:tcBorders>
            <w:shd w:val="clear" w:color="auto" w:fill="auto"/>
            <w:noWrap/>
            <w:vAlign w:val="center"/>
            <w:hideMark/>
          </w:tcPr>
          <w:p w14:paraId="72BB8FBB"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5,29%</w:t>
            </w:r>
          </w:p>
        </w:tc>
        <w:tc>
          <w:tcPr>
            <w:tcW w:w="760" w:type="dxa"/>
            <w:tcBorders>
              <w:top w:val="nil"/>
              <w:left w:val="nil"/>
              <w:bottom w:val="single" w:sz="4" w:space="0" w:color="auto"/>
              <w:right w:val="single" w:sz="4" w:space="0" w:color="auto"/>
            </w:tcBorders>
            <w:shd w:val="clear" w:color="auto" w:fill="auto"/>
            <w:noWrap/>
            <w:vAlign w:val="center"/>
            <w:hideMark/>
          </w:tcPr>
          <w:p w14:paraId="2085E535"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2019/12/23</w:t>
            </w:r>
          </w:p>
        </w:tc>
        <w:tc>
          <w:tcPr>
            <w:tcW w:w="960" w:type="dxa"/>
            <w:tcBorders>
              <w:top w:val="nil"/>
              <w:left w:val="nil"/>
              <w:bottom w:val="single" w:sz="4" w:space="0" w:color="auto"/>
              <w:right w:val="single" w:sz="4" w:space="0" w:color="auto"/>
            </w:tcBorders>
            <w:shd w:val="clear" w:color="auto" w:fill="auto"/>
            <w:noWrap/>
            <w:vAlign w:val="center"/>
            <w:hideMark/>
          </w:tcPr>
          <w:p w14:paraId="4BB6E7D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2020/11/23</w:t>
            </w:r>
          </w:p>
        </w:tc>
        <w:tc>
          <w:tcPr>
            <w:tcW w:w="1540" w:type="dxa"/>
            <w:tcBorders>
              <w:top w:val="nil"/>
              <w:left w:val="nil"/>
              <w:bottom w:val="single" w:sz="4" w:space="0" w:color="auto"/>
              <w:right w:val="single" w:sz="4" w:space="0" w:color="auto"/>
            </w:tcBorders>
            <w:shd w:val="clear" w:color="auto" w:fill="auto"/>
            <w:noWrap/>
            <w:vAlign w:val="center"/>
            <w:hideMark/>
          </w:tcPr>
          <w:p w14:paraId="42E9D94F"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16.018.120.853 </w:t>
            </w:r>
          </w:p>
        </w:tc>
      </w:tr>
      <w:tr w:rsidR="00826439" w:rsidRPr="00826439" w14:paraId="4E3B392E"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2FE5153"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118</w:t>
            </w:r>
          </w:p>
        </w:tc>
        <w:tc>
          <w:tcPr>
            <w:tcW w:w="1160" w:type="dxa"/>
            <w:tcBorders>
              <w:top w:val="nil"/>
              <w:left w:val="nil"/>
              <w:bottom w:val="single" w:sz="4" w:space="0" w:color="auto"/>
              <w:right w:val="single" w:sz="4" w:space="0" w:color="auto"/>
            </w:tcBorders>
            <w:shd w:val="clear" w:color="auto" w:fill="auto"/>
            <w:noWrap/>
            <w:vAlign w:val="center"/>
            <w:hideMark/>
          </w:tcPr>
          <w:p w14:paraId="6182A0A9"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GNB SUDAMERIS</w:t>
            </w:r>
          </w:p>
        </w:tc>
        <w:tc>
          <w:tcPr>
            <w:tcW w:w="1480" w:type="dxa"/>
            <w:tcBorders>
              <w:top w:val="nil"/>
              <w:left w:val="nil"/>
              <w:bottom w:val="single" w:sz="4" w:space="0" w:color="auto"/>
              <w:right w:val="single" w:sz="4" w:space="0" w:color="auto"/>
            </w:tcBorders>
            <w:shd w:val="clear" w:color="auto" w:fill="auto"/>
            <w:noWrap/>
            <w:vAlign w:val="center"/>
            <w:hideMark/>
          </w:tcPr>
          <w:p w14:paraId="6B5A667B"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12.000.000.000 </w:t>
            </w:r>
          </w:p>
        </w:tc>
        <w:tc>
          <w:tcPr>
            <w:tcW w:w="640" w:type="dxa"/>
            <w:tcBorders>
              <w:top w:val="nil"/>
              <w:left w:val="nil"/>
              <w:bottom w:val="single" w:sz="4" w:space="0" w:color="auto"/>
              <w:right w:val="single" w:sz="4" w:space="0" w:color="auto"/>
            </w:tcBorders>
            <w:shd w:val="clear" w:color="auto" w:fill="auto"/>
            <w:noWrap/>
            <w:vAlign w:val="center"/>
            <w:hideMark/>
          </w:tcPr>
          <w:p w14:paraId="061A7CE4"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139987</w:t>
            </w:r>
          </w:p>
        </w:tc>
        <w:tc>
          <w:tcPr>
            <w:tcW w:w="840" w:type="dxa"/>
            <w:tcBorders>
              <w:top w:val="nil"/>
              <w:left w:val="nil"/>
              <w:bottom w:val="single" w:sz="4" w:space="0" w:color="auto"/>
              <w:right w:val="single" w:sz="4" w:space="0" w:color="auto"/>
            </w:tcBorders>
            <w:shd w:val="clear" w:color="auto" w:fill="auto"/>
            <w:noWrap/>
            <w:vAlign w:val="center"/>
            <w:hideMark/>
          </w:tcPr>
          <w:p w14:paraId="4135E236"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94</w:t>
            </w:r>
          </w:p>
        </w:tc>
        <w:tc>
          <w:tcPr>
            <w:tcW w:w="760" w:type="dxa"/>
            <w:tcBorders>
              <w:top w:val="nil"/>
              <w:left w:val="nil"/>
              <w:bottom w:val="single" w:sz="4" w:space="0" w:color="auto"/>
              <w:right w:val="single" w:sz="4" w:space="0" w:color="auto"/>
            </w:tcBorders>
            <w:shd w:val="clear" w:color="auto" w:fill="auto"/>
            <w:noWrap/>
            <w:vAlign w:val="center"/>
            <w:hideMark/>
          </w:tcPr>
          <w:p w14:paraId="4B3411FA"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820" w:type="dxa"/>
            <w:tcBorders>
              <w:top w:val="nil"/>
              <w:left w:val="nil"/>
              <w:bottom w:val="single" w:sz="4" w:space="0" w:color="auto"/>
              <w:right w:val="single" w:sz="4" w:space="0" w:color="auto"/>
            </w:tcBorders>
            <w:shd w:val="clear" w:color="auto" w:fill="auto"/>
            <w:noWrap/>
            <w:vAlign w:val="center"/>
            <w:hideMark/>
          </w:tcPr>
          <w:p w14:paraId="27A26DED"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5,29%</w:t>
            </w:r>
          </w:p>
        </w:tc>
        <w:tc>
          <w:tcPr>
            <w:tcW w:w="760" w:type="dxa"/>
            <w:tcBorders>
              <w:top w:val="nil"/>
              <w:left w:val="nil"/>
              <w:bottom w:val="single" w:sz="4" w:space="0" w:color="auto"/>
              <w:right w:val="single" w:sz="4" w:space="0" w:color="auto"/>
            </w:tcBorders>
            <w:shd w:val="clear" w:color="auto" w:fill="auto"/>
            <w:noWrap/>
            <w:vAlign w:val="center"/>
            <w:hideMark/>
          </w:tcPr>
          <w:p w14:paraId="1D5FE93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2019/12/23</w:t>
            </w:r>
          </w:p>
        </w:tc>
        <w:tc>
          <w:tcPr>
            <w:tcW w:w="960" w:type="dxa"/>
            <w:tcBorders>
              <w:top w:val="nil"/>
              <w:left w:val="nil"/>
              <w:bottom w:val="single" w:sz="4" w:space="0" w:color="auto"/>
              <w:right w:val="single" w:sz="4" w:space="0" w:color="auto"/>
            </w:tcBorders>
            <w:shd w:val="clear" w:color="auto" w:fill="auto"/>
            <w:noWrap/>
            <w:vAlign w:val="center"/>
            <w:hideMark/>
          </w:tcPr>
          <w:p w14:paraId="03831E88"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2020/11/23</w:t>
            </w:r>
          </w:p>
        </w:tc>
        <w:tc>
          <w:tcPr>
            <w:tcW w:w="1540" w:type="dxa"/>
            <w:tcBorders>
              <w:top w:val="nil"/>
              <w:left w:val="nil"/>
              <w:bottom w:val="single" w:sz="4" w:space="0" w:color="auto"/>
              <w:right w:val="single" w:sz="4" w:space="0" w:color="auto"/>
            </w:tcBorders>
            <w:shd w:val="clear" w:color="auto" w:fill="auto"/>
            <w:noWrap/>
            <w:vAlign w:val="center"/>
            <w:hideMark/>
          </w:tcPr>
          <w:p w14:paraId="5836ED52"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12.013.590.640 </w:t>
            </w:r>
          </w:p>
        </w:tc>
      </w:tr>
      <w:tr w:rsidR="00826439" w:rsidRPr="00826439" w14:paraId="1DE25D07" w14:textId="77777777" w:rsidTr="00826439">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10D841C" w14:textId="77777777" w:rsidR="00826439" w:rsidRPr="00826439" w:rsidRDefault="00826439" w:rsidP="00AB4D08">
            <w:pPr>
              <w:spacing w:after="0" w:line="240" w:lineRule="auto"/>
              <w:contextualSpacing/>
              <w:jc w:val="center"/>
              <w:rPr>
                <w:rFonts w:ascii="Times New Roman" w:eastAsia="Times New Roman" w:hAnsi="Times New Roman"/>
                <w:b/>
                <w:bCs/>
                <w:color w:val="000000"/>
                <w:sz w:val="12"/>
                <w:szCs w:val="12"/>
                <w:lang w:eastAsia="es-CO"/>
              </w:rPr>
            </w:pPr>
            <w:r w:rsidRPr="00826439">
              <w:rPr>
                <w:rFonts w:ascii="Times New Roman" w:eastAsia="Times New Roman" w:hAnsi="Times New Roman"/>
                <w:b/>
                <w:bCs/>
                <w:color w:val="000000"/>
                <w:sz w:val="12"/>
                <w:szCs w:val="12"/>
                <w:lang w:eastAsia="es-CO"/>
              </w:rPr>
              <w:t>119</w:t>
            </w:r>
          </w:p>
        </w:tc>
        <w:tc>
          <w:tcPr>
            <w:tcW w:w="1160" w:type="dxa"/>
            <w:tcBorders>
              <w:top w:val="nil"/>
              <w:left w:val="nil"/>
              <w:bottom w:val="single" w:sz="4" w:space="0" w:color="auto"/>
              <w:right w:val="single" w:sz="4" w:space="0" w:color="auto"/>
            </w:tcBorders>
            <w:shd w:val="clear" w:color="auto" w:fill="auto"/>
            <w:noWrap/>
            <w:vAlign w:val="center"/>
            <w:hideMark/>
          </w:tcPr>
          <w:p w14:paraId="0E91FD51"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BANCOLOMBIA</w:t>
            </w:r>
          </w:p>
        </w:tc>
        <w:tc>
          <w:tcPr>
            <w:tcW w:w="1480" w:type="dxa"/>
            <w:tcBorders>
              <w:top w:val="nil"/>
              <w:left w:val="nil"/>
              <w:bottom w:val="single" w:sz="4" w:space="0" w:color="auto"/>
              <w:right w:val="single" w:sz="4" w:space="0" w:color="auto"/>
            </w:tcBorders>
            <w:shd w:val="clear" w:color="auto" w:fill="auto"/>
            <w:noWrap/>
            <w:vAlign w:val="center"/>
            <w:hideMark/>
          </w:tcPr>
          <w:p w14:paraId="11AFC96C" w14:textId="77777777"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5.193.025.000 </w:t>
            </w:r>
          </w:p>
        </w:tc>
        <w:tc>
          <w:tcPr>
            <w:tcW w:w="640" w:type="dxa"/>
            <w:tcBorders>
              <w:top w:val="nil"/>
              <w:left w:val="nil"/>
              <w:bottom w:val="single" w:sz="4" w:space="0" w:color="auto"/>
              <w:right w:val="single" w:sz="4" w:space="0" w:color="auto"/>
            </w:tcBorders>
            <w:shd w:val="clear" w:color="auto" w:fill="auto"/>
            <w:noWrap/>
            <w:vAlign w:val="center"/>
            <w:hideMark/>
          </w:tcPr>
          <w:p w14:paraId="1FCEE22B"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139988</w:t>
            </w:r>
          </w:p>
        </w:tc>
        <w:tc>
          <w:tcPr>
            <w:tcW w:w="840" w:type="dxa"/>
            <w:tcBorders>
              <w:top w:val="nil"/>
              <w:left w:val="nil"/>
              <w:bottom w:val="single" w:sz="4" w:space="0" w:color="auto"/>
              <w:right w:val="single" w:sz="4" w:space="0" w:color="auto"/>
            </w:tcBorders>
            <w:shd w:val="clear" w:color="auto" w:fill="auto"/>
            <w:noWrap/>
            <w:vAlign w:val="center"/>
            <w:hideMark/>
          </w:tcPr>
          <w:p w14:paraId="5EC74C5C"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350</w:t>
            </w:r>
          </w:p>
        </w:tc>
        <w:tc>
          <w:tcPr>
            <w:tcW w:w="760" w:type="dxa"/>
            <w:tcBorders>
              <w:top w:val="nil"/>
              <w:left w:val="nil"/>
              <w:bottom w:val="single" w:sz="4" w:space="0" w:color="auto"/>
              <w:right w:val="single" w:sz="4" w:space="0" w:color="auto"/>
            </w:tcBorders>
            <w:shd w:val="clear" w:color="auto" w:fill="auto"/>
            <w:noWrap/>
            <w:vAlign w:val="center"/>
            <w:hideMark/>
          </w:tcPr>
          <w:p w14:paraId="1EC93CDE"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820" w:type="dxa"/>
            <w:tcBorders>
              <w:top w:val="nil"/>
              <w:left w:val="nil"/>
              <w:bottom w:val="single" w:sz="4" w:space="0" w:color="auto"/>
              <w:right w:val="single" w:sz="4" w:space="0" w:color="auto"/>
            </w:tcBorders>
            <w:shd w:val="clear" w:color="auto" w:fill="auto"/>
            <w:noWrap/>
            <w:vAlign w:val="center"/>
            <w:hideMark/>
          </w:tcPr>
          <w:p w14:paraId="2930C327" w14:textId="77777777" w:rsidR="00826439" w:rsidRPr="00826439" w:rsidRDefault="00826439" w:rsidP="00AB4D08">
            <w:pPr>
              <w:spacing w:after="0" w:line="240" w:lineRule="auto"/>
              <w:contextualSpacing/>
              <w:jc w:val="center"/>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5,30%</w:t>
            </w:r>
          </w:p>
        </w:tc>
        <w:tc>
          <w:tcPr>
            <w:tcW w:w="760" w:type="dxa"/>
            <w:tcBorders>
              <w:top w:val="nil"/>
              <w:left w:val="nil"/>
              <w:bottom w:val="single" w:sz="4" w:space="0" w:color="auto"/>
              <w:right w:val="single" w:sz="4" w:space="0" w:color="auto"/>
            </w:tcBorders>
            <w:shd w:val="clear" w:color="auto" w:fill="auto"/>
            <w:noWrap/>
            <w:vAlign w:val="center"/>
            <w:hideMark/>
          </w:tcPr>
          <w:p w14:paraId="4EBB72FA"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2019/12/20</w:t>
            </w:r>
          </w:p>
        </w:tc>
        <w:tc>
          <w:tcPr>
            <w:tcW w:w="960" w:type="dxa"/>
            <w:tcBorders>
              <w:top w:val="nil"/>
              <w:left w:val="nil"/>
              <w:bottom w:val="single" w:sz="4" w:space="0" w:color="auto"/>
              <w:right w:val="single" w:sz="4" w:space="0" w:color="auto"/>
            </w:tcBorders>
            <w:shd w:val="clear" w:color="auto" w:fill="auto"/>
            <w:noWrap/>
            <w:vAlign w:val="center"/>
            <w:hideMark/>
          </w:tcPr>
          <w:p w14:paraId="0836C96D" w14:textId="77777777" w:rsidR="00826439" w:rsidRPr="00826439" w:rsidRDefault="00826439" w:rsidP="00AB4D08">
            <w:pPr>
              <w:spacing w:after="0" w:line="240" w:lineRule="auto"/>
              <w:contextualSpacing/>
              <w:jc w:val="right"/>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2020/12/10</w:t>
            </w:r>
          </w:p>
        </w:tc>
        <w:tc>
          <w:tcPr>
            <w:tcW w:w="1540" w:type="dxa"/>
            <w:tcBorders>
              <w:top w:val="nil"/>
              <w:left w:val="nil"/>
              <w:bottom w:val="single" w:sz="4" w:space="0" w:color="auto"/>
              <w:right w:val="single" w:sz="4" w:space="0" w:color="auto"/>
            </w:tcBorders>
            <w:shd w:val="clear" w:color="auto" w:fill="auto"/>
            <w:noWrap/>
            <w:vAlign w:val="center"/>
            <w:hideMark/>
          </w:tcPr>
          <w:p w14:paraId="38D9FD97" w14:textId="405CF9F5" w:rsidR="00826439" w:rsidRPr="00826439" w:rsidRDefault="00826439" w:rsidP="00AB4D08">
            <w:pPr>
              <w:spacing w:after="0" w:line="240" w:lineRule="auto"/>
              <w:contextualSpacing/>
              <w:rPr>
                <w:rFonts w:ascii="Times New Roman" w:eastAsia="Times New Roman" w:hAnsi="Times New Roman"/>
                <w:sz w:val="12"/>
                <w:szCs w:val="12"/>
                <w:lang w:eastAsia="es-CO"/>
              </w:rPr>
            </w:pPr>
            <w:r w:rsidRPr="00826439">
              <w:rPr>
                <w:rFonts w:ascii="Times New Roman" w:eastAsia="Times New Roman" w:hAnsi="Times New Roman"/>
                <w:sz w:val="12"/>
                <w:szCs w:val="12"/>
                <w:lang w:eastAsia="es-CO"/>
              </w:rPr>
              <w:t xml:space="preserve"> $                    5.201.110.152 </w:t>
            </w:r>
          </w:p>
        </w:tc>
      </w:tr>
      <w:tr w:rsidR="00826439" w:rsidRPr="00826439" w14:paraId="2670FAA9" w14:textId="77777777" w:rsidTr="00826439">
        <w:trPr>
          <w:trHeight w:val="255"/>
        </w:trPr>
        <w:tc>
          <w:tcPr>
            <w:tcW w:w="380" w:type="dxa"/>
            <w:tcBorders>
              <w:top w:val="nil"/>
              <w:left w:val="single" w:sz="4" w:space="0" w:color="auto"/>
              <w:bottom w:val="single" w:sz="4" w:space="0" w:color="auto"/>
              <w:right w:val="single" w:sz="4" w:space="0" w:color="auto"/>
            </w:tcBorders>
            <w:shd w:val="clear" w:color="000000" w:fill="D9D9D9"/>
            <w:noWrap/>
            <w:vAlign w:val="bottom"/>
            <w:hideMark/>
          </w:tcPr>
          <w:p w14:paraId="1017A0D9"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75826D5C"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1480" w:type="dxa"/>
            <w:tcBorders>
              <w:top w:val="nil"/>
              <w:left w:val="nil"/>
              <w:bottom w:val="single" w:sz="4" w:space="0" w:color="auto"/>
              <w:right w:val="single" w:sz="4" w:space="0" w:color="auto"/>
            </w:tcBorders>
            <w:shd w:val="clear" w:color="000000" w:fill="D9D9D9"/>
            <w:noWrap/>
            <w:vAlign w:val="bottom"/>
            <w:hideMark/>
          </w:tcPr>
          <w:p w14:paraId="27AA5C08"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xml:space="preserve"> $ 942.358.335.667 </w:t>
            </w:r>
          </w:p>
        </w:tc>
        <w:tc>
          <w:tcPr>
            <w:tcW w:w="640" w:type="dxa"/>
            <w:tcBorders>
              <w:top w:val="nil"/>
              <w:left w:val="nil"/>
              <w:bottom w:val="single" w:sz="4" w:space="0" w:color="auto"/>
              <w:right w:val="single" w:sz="4" w:space="0" w:color="auto"/>
            </w:tcBorders>
            <w:shd w:val="clear" w:color="000000" w:fill="D9D9D9"/>
            <w:noWrap/>
            <w:vAlign w:val="bottom"/>
            <w:hideMark/>
          </w:tcPr>
          <w:p w14:paraId="4D997140"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129A95FF"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760" w:type="dxa"/>
            <w:tcBorders>
              <w:top w:val="nil"/>
              <w:left w:val="nil"/>
              <w:bottom w:val="single" w:sz="4" w:space="0" w:color="auto"/>
              <w:right w:val="single" w:sz="4" w:space="0" w:color="auto"/>
            </w:tcBorders>
            <w:shd w:val="clear" w:color="000000" w:fill="D9D9D9"/>
            <w:noWrap/>
            <w:vAlign w:val="bottom"/>
            <w:hideMark/>
          </w:tcPr>
          <w:p w14:paraId="4F7900C6"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820" w:type="dxa"/>
            <w:tcBorders>
              <w:top w:val="nil"/>
              <w:left w:val="nil"/>
              <w:bottom w:val="single" w:sz="4" w:space="0" w:color="auto"/>
              <w:right w:val="single" w:sz="4" w:space="0" w:color="auto"/>
            </w:tcBorders>
            <w:shd w:val="clear" w:color="000000" w:fill="D9D9D9"/>
            <w:noWrap/>
            <w:vAlign w:val="bottom"/>
            <w:hideMark/>
          </w:tcPr>
          <w:p w14:paraId="701F7B0D"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760" w:type="dxa"/>
            <w:tcBorders>
              <w:top w:val="nil"/>
              <w:left w:val="nil"/>
              <w:bottom w:val="single" w:sz="4" w:space="0" w:color="auto"/>
              <w:right w:val="single" w:sz="4" w:space="0" w:color="auto"/>
            </w:tcBorders>
            <w:shd w:val="clear" w:color="000000" w:fill="D9D9D9"/>
            <w:noWrap/>
            <w:vAlign w:val="bottom"/>
            <w:hideMark/>
          </w:tcPr>
          <w:p w14:paraId="02C09ABC"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31FCDF43" w14:textId="77777777" w:rsidR="00826439" w:rsidRPr="00826439" w:rsidRDefault="00826439" w:rsidP="00AB4D08">
            <w:pPr>
              <w:spacing w:after="0" w:line="240" w:lineRule="auto"/>
              <w:contextualSpacing/>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D0DD353" w14:textId="77777777" w:rsidR="00826439" w:rsidRPr="00826439" w:rsidRDefault="00826439" w:rsidP="00AB4D08">
            <w:pPr>
              <w:spacing w:after="0" w:line="240" w:lineRule="auto"/>
              <w:contextualSpacing/>
              <w:jc w:val="right"/>
              <w:rPr>
                <w:rFonts w:ascii="Times New Roman" w:eastAsia="Times New Roman" w:hAnsi="Times New Roman"/>
                <w:b/>
                <w:bCs/>
                <w:sz w:val="12"/>
                <w:szCs w:val="12"/>
                <w:lang w:eastAsia="es-CO"/>
              </w:rPr>
            </w:pPr>
            <w:r w:rsidRPr="00826439">
              <w:rPr>
                <w:rFonts w:ascii="Times New Roman" w:eastAsia="Times New Roman" w:hAnsi="Times New Roman"/>
                <w:b/>
                <w:bCs/>
                <w:sz w:val="12"/>
                <w:szCs w:val="12"/>
                <w:lang w:eastAsia="es-CO"/>
              </w:rPr>
              <w:t xml:space="preserve"> $  953.479.873.647 </w:t>
            </w:r>
          </w:p>
        </w:tc>
      </w:tr>
    </w:tbl>
    <w:p w14:paraId="2BF38D19" w14:textId="77777777" w:rsidR="00826439" w:rsidRDefault="00826439" w:rsidP="00AB4D08">
      <w:pPr>
        <w:spacing w:after="0" w:line="240" w:lineRule="auto"/>
        <w:contextualSpacing/>
        <w:jc w:val="both"/>
        <w:rPr>
          <w:rFonts w:ascii="Times New Roman" w:hAnsi="Times New Roman"/>
          <w:sz w:val="24"/>
          <w:szCs w:val="24"/>
        </w:rPr>
      </w:pPr>
    </w:p>
    <w:p w14:paraId="1AE26ACA" w14:textId="63F907E2" w:rsidR="004133E6" w:rsidRPr="004133E6" w:rsidRDefault="004133E6" w:rsidP="00AB4D08">
      <w:pPr>
        <w:spacing w:line="240" w:lineRule="auto"/>
        <w:ind w:left="567"/>
        <w:contextualSpacing/>
        <w:jc w:val="both"/>
        <w:rPr>
          <w:rFonts w:ascii="Times New Roman" w:eastAsia="Arial" w:hAnsi="Times New Roman"/>
          <w:color w:val="000000" w:themeColor="text1"/>
          <w:sz w:val="24"/>
          <w:szCs w:val="24"/>
        </w:rPr>
      </w:pPr>
      <w:r w:rsidRPr="004133E6">
        <w:rPr>
          <w:rFonts w:ascii="Times New Roman" w:eastAsia="Arial" w:hAnsi="Times New Roman"/>
          <w:color w:val="000000" w:themeColor="text1"/>
          <w:sz w:val="24"/>
          <w:szCs w:val="24"/>
        </w:rPr>
        <w:t>De acuerdo con la información suministrada por la Subdi</w:t>
      </w:r>
      <w:r>
        <w:rPr>
          <w:rFonts w:ascii="Times New Roman" w:eastAsia="Arial" w:hAnsi="Times New Roman"/>
          <w:color w:val="000000" w:themeColor="text1"/>
          <w:sz w:val="24"/>
          <w:szCs w:val="24"/>
        </w:rPr>
        <w:t>rección Técnica de Tesorería y R</w:t>
      </w:r>
      <w:r w:rsidRPr="004133E6">
        <w:rPr>
          <w:rFonts w:ascii="Times New Roman" w:eastAsia="Arial" w:hAnsi="Times New Roman"/>
          <w:color w:val="000000" w:themeColor="text1"/>
          <w:sz w:val="24"/>
          <w:szCs w:val="24"/>
        </w:rPr>
        <w:t xml:space="preserve">ecaudo, </w:t>
      </w:r>
      <w:r>
        <w:rPr>
          <w:rFonts w:ascii="Times New Roman" w:eastAsia="Arial" w:hAnsi="Times New Roman"/>
          <w:color w:val="000000" w:themeColor="text1"/>
          <w:sz w:val="24"/>
          <w:szCs w:val="24"/>
        </w:rPr>
        <w:t xml:space="preserve">con corte a 31 de diciembre de 2019, </w:t>
      </w:r>
      <w:r w:rsidRPr="004133E6">
        <w:rPr>
          <w:rFonts w:ascii="Times New Roman" w:eastAsia="Arial" w:hAnsi="Times New Roman"/>
          <w:color w:val="000000" w:themeColor="text1"/>
          <w:sz w:val="24"/>
          <w:szCs w:val="24"/>
        </w:rPr>
        <w:t>no se presenta indicios de deterioro</w:t>
      </w:r>
      <w:r>
        <w:rPr>
          <w:rFonts w:ascii="Times New Roman" w:eastAsia="Arial" w:hAnsi="Times New Roman"/>
          <w:color w:val="000000" w:themeColor="text1"/>
          <w:sz w:val="24"/>
          <w:szCs w:val="24"/>
        </w:rPr>
        <w:t xml:space="preserve"> de las </w:t>
      </w:r>
      <w:r w:rsidRPr="004133E6">
        <w:rPr>
          <w:rFonts w:ascii="Times New Roman" w:eastAsia="Arial" w:hAnsi="Times New Roman"/>
          <w:color w:val="000000" w:themeColor="text1"/>
          <w:sz w:val="24"/>
          <w:szCs w:val="24"/>
        </w:rPr>
        <w:t xml:space="preserve"> inversiones </w:t>
      </w:r>
      <w:r>
        <w:rPr>
          <w:rFonts w:ascii="Times New Roman" w:eastAsia="Arial" w:hAnsi="Times New Roman"/>
          <w:color w:val="000000" w:themeColor="text1"/>
          <w:sz w:val="24"/>
          <w:szCs w:val="24"/>
        </w:rPr>
        <w:t xml:space="preserve">y tampoco </w:t>
      </w:r>
      <w:r w:rsidRPr="004133E6">
        <w:rPr>
          <w:rFonts w:ascii="Times New Roman" w:eastAsia="Arial" w:hAnsi="Times New Roman"/>
          <w:color w:val="000000" w:themeColor="text1"/>
          <w:sz w:val="24"/>
          <w:szCs w:val="24"/>
        </w:rPr>
        <w:t>rec</w:t>
      </w:r>
      <w:r>
        <w:rPr>
          <w:rFonts w:ascii="Times New Roman" w:eastAsia="Arial" w:hAnsi="Times New Roman"/>
          <w:color w:val="000000" w:themeColor="text1"/>
          <w:sz w:val="24"/>
          <w:szCs w:val="24"/>
        </w:rPr>
        <w:t>lasificaciones o pignoraciones.</w:t>
      </w:r>
    </w:p>
    <w:p w14:paraId="498AAE6C" w14:textId="77777777" w:rsidR="00C53F73" w:rsidRDefault="00C53F73" w:rsidP="00AB4D08">
      <w:pPr>
        <w:spacing w:after="0" w:line="240" w:lineRule="auto"/>
        <w:contextualSpacing/>
        <w:jc w:val="both"/>
        <w:rPr>
          <w:rFonts w:ascii="Times New Roman" w:hAnsi="Times New Roman"/>
          <w:sz w:val="24"/>
          <w:szCs w:val="24"/>
        </w:rPr>
      </w:pPr>
    </w:p>
    <w:p w14:paraId="393A3919" w14:textId="77777777" w:rsidR="00CA477E" w:rsidRDefault="00CA477E" w:rsidP="00AB4D08">
      <w:pPr>
        <w:spacing w:after="0" w:line="240" w:lineRule="auto"/>
        <w:contextualSpacing/>
        <w:jc w:val="both"/>
        <w:rPr>
          <w:rFonts w:ascii="Times New Roman" w:hAnsi="Times New Roman"/>
          <w:sz w:val="24"/>
          <w:szCs w:val="24"/>
        </w:rPr>
      </w:pPr>
    </w:p>
    <w:p w14:paraId="09AD466F" w14:textId="77777777" w:rsidR="00CA477E" w:rsidRDefault="00CA477E" w:rsidP="00AB4D08">
      <w:pPr>
        <w:spacing w:after="0" w:line="240" w:lineRule="auto"/>
        <w:contextualSpacing/>
        <w:jc w:val="both"/>
        <w:rPr>
          <w:rFonts w:ascii="Times New Roman" w:hAnsi="Times New Roman"/>
          <w:sz w:val="24"/>
          <w:szCs w:val="24"/>
        </w:rPr>
      </w:pPr>
    </w:p>
    <w:p w14:paraId="5773B556" w14:textId="77777777" w:rsidR="00CA477E" w:rsidRDefault="00CA477E" w:rsidP="00AB4D08">
      <w:pPr>
        <w:spacing w:after="0" w:line="240" w:lineRule="auto"/>
        <w:contextualSpacing/>
        <w:jc w:val="both"/>
        <w:rPr>
          <w:rFonts w:ascii="Times New Roman" w:hAnsi="Times New Roman"/>
          <w:sz w:val="24"/>
          <w:szCs w:val="24"/>
        </w:rPr>
      </w:pPr>
    </w:p>
    <w:p w14:paraId="0D009A1C" w14:textId="77777777" w:rsidR="00CA477E" w:rsidRDefault="00CA477E" w:rsidP="00AB4D08">
      <w:pPr>
        <w:spacing w:after="0" w:line="240" w:lineRule="auto"/>
        <w:contextualSpacing/>
        <w:jc w:val="both"/>
        <w:rPr>
          <w:rFonts w:ascii="Times New Roman" w:hAnsi="Times New Roman"/>
          <w:sz w:val="24"/>
          <w:szCs w:val="24"/>
        </w:rPr>
      </w:pPr>
    </w:p>
    <w:p w14:paraId="6B24CCEE" w14:textId="77777777" w:rsidR="00CA477E" w:rsidRPr="00CD42D0" w:rsidRDefault="00CA477E" w:rsidP="00AB4D08">
      <w:pPr>
        <w:spacing w:after="0" w:line="240" w:lineRule="auto"/>
        <w:contextualSpacing/>
        <w:jc w:val="both"/>
        <w:rPr>
          <w:rFonts w:ascii="Times New Roman" w:hAnsi="Times New Roman"/>
          <w:sz w:val="24"/>
          <w:szCs w:val="24"/>
        </w:rPr>
      </w:pPr>
    </w:p>
    <w:p w14:paraId="461086F3" w14:textId="433BA882" w:rsidR="000E7F1F" w:rsidRPr="00CD42D0" w:rsidRDefault="000E7F1F" w:rsidP="00AB4D08">
      <w:pPr>
        <w:pStyle w:val="Ttulo2"/>
        <w:numPr>
          <w:ilvl w:val="1"/>
          <w:numId w:val="24"/>
        </w:numPr>
        <w:spacing w:line="240" w:lineRule="auto"/>
        <w:ind w:left="567" w:hanging="567"/>
        <w:contextualSpacing/>
        <w:rPr>
          <w:rFonts w:cs="Times New Roman"/>
          <w:szCs w:val="24"/>
        </w:rPr>
      </w:pPr>
      <w:bookmarkStart w:id="32" w:name="_Toc32317247"/>
      <w:r w:rsidRPr="00CD42D0">
        <w:rPr>
          <w:rFonts w:cs="Times New Roman"/>
          <w:szCs w:val="24"/>
        </w:rPr>
        <w:lastRenderedPageBreak/>
        <w:t xml:space="preserve">Inversiones </w:t>
      </w:r>
      <w:r w:rsidR="00051327" w:rsidRPr="00CD42D0">
        <w:rPr>
          <w:rFonts w:cs="Times New Roman"/>
          <w:szCs w:val="24"/>
        </w:rPr>
        <w:t>d</w:t>
      </w:r>
      <w:r w:rsidRPr="00CD42D0">
        <w:rPr>
          <w:rFonts w:cs="Times New Roman"/>
          <w:szCs w:val="24"/>
        </w:rPr>
        <w:t>e</w:t>
      </w:r>
      <w:r w:rsidR="00051327" w:rsidRPr="00CD42D0">
        <w:rPr>
          <w:rFonts w:cs="Times New Roman"/>
          <w:szCs w:val="24"/>
        </w:rPr>
        <w:t xml:space="preserve"> administración de liquidez al costo</w:t>
      </w:r>
      <w:bookmarkEnd w:id="32"/>
    </w:p>
    <w:p w14:paraId="0315F678" w14:textId="77777777" w:rsidR="000E7F1F" w:rsidRPr="00CD42D0" w:rsidRDefault="000E7F1F" w:rsidP="00AB4D08">
      <w:pPr>
        <w:spacing w:after="0" w:line="240" w:lineRule="auto"/>
        <w:ind w:left="720"/>
        <w:contextualSpacing/>
        <w:jc w:val="both"/>
        <w:rPr>
          <w:rFonts w:ascii="Times New Roman" w:hAnsi="Times New Roman"/>
          <w:sz w:val="24"/>
          <w:szCs w:val="24"/>
        </w:rPr>
      </w:pPr>
    </w:p>
    <w:p w14:paraId="473D5779" w14:textId="36046133" w:rsidR="00CD42D0" w:rsidRDefault="00CD42D0" w:rsidP="00AB4D08">
      <w:pPr>
        <w:spacing w:line="240" w:lineRule="auto"/>
        <w:ind w:left="567"/>
        <w:contextualSpacing/>
        <w:jc w:val="both"/>
        <w:rPr>
          <w:rFonts w:ascii="Times New Roman" w:eastAsia="Arial" w:hAnsi="Times New Roman"/>
          <w:color w:val="000000" w:themeColor="text1"/>
          <w:sz w:val="24"/>
          <w:szCs w:val="24"/>
        </w:rPr>
      </w:pPr>
      <w:r w:rsidRPr="00CD42D0">
        <w:rPr>
          <w:rFonts w:ascii="Times New Roman" w:eastAsia="Arial" w:hAnsi="Times New Roman"/>
          <w:color w:val="000000" w:themeColor="text1"/>
          <w:sz w:val="24"/>
          <w:szCs w:val="24"/>
        </w:rPr>
        <w:t xml:space="preserve">Las inversiones de Administración de Liquidez </w:t>
      </w:r>
      <w:r>
        <w:rPr>
          <w:rFonts w:ascii="Times New Roman" w:eastAsia="Arial" w:hAnsi="Times New Roman"/>
          <w:color w:val="000000" w:themeColor="text1"/>
          <w:sz w:val="24"/>
          <w:szCs w:val="24"/>
        </w:rPr>
        <w:t xml:space="preserve">medidas al costo, </w:t>
      </w:r>
      <w:r w:rsidRPr="00CD42D0">
        <w:rPr>
          <w:rFonts w:ascii="Times New Roman" w:eastAsia="Arial" w:hAnsi="Times New Roman"/>
          <w:color w:val="000000" w:themeColor="text1"/>
          <w:sz w:val="24"/>
          <w:szCs w:val="24"/>
        </w:rPr>
        <w:t>del IDU se encuentran representadas en instrumentos de patrimonio</w:t>
      </w:r>
      <w:r>
        <w:rPr>
          <w:rFonts w:ascii="Times New Roman" w:eastAsia="Arial" w:hAnsi="Times New Roman"/>
          <w:color w:val="000000" w:themeColor="text1"/>
          <w:sz w:val="24"/>
          <w:szCs w:val="24"/>
        </w:rPr>
        <w:t>, así:</w:t>
      </w:r>
    </w:p>
    <w:p w14:paraId="3E1A6975" w14:textId="77777777" w:rsidR="00CD42D0" w:rsidRPr="00CD42D0" w:rsidRDefault="00CD42D0" w:rsidP="00AB4D08">
      <w:pPr>
        <w:pStyle w:val="Prrafodelista"/>
        <w:numPr>
          <w:ilvl w:val="0"/>
          <w:numId w:val="6"/>
        </w:numPr>
        <w:spacing w:line="240" w:lineRule="auto"/>
        <w:ind w:left="1276" w:hanging="283"/>
        <w:jc w:val="both"/>
        <w:rPr>
          <w:rFonts w:ascii="Times New Roman" w:eastAsia="Arial" w:hAnsi="Times New Roman"/>
          <w:b/>
          <w:color w:val="000000" w:themeColor="text1"/>
          <w:sz w:val="24"/>
          <w:szCs w:val="24"/>
        </w:rPr>
      </w:pPr>
      <w:r w:rsidRPr="00CD42D0">
        <w:rPr>
          <w:rFonts w:ascii="Times New Roman" w:eastAsia="Arial" w:hAnsi="Times New Roman"/>
          <w:color w:val="000000" w:themeColor="text1"/>
          <w:sz w:val="24"/>
          <w:szCs w:val="24"/>
        </w:rPr>
        <w:t>Transmilenio S.A.</w:t>
      </w:r>
    </w:p>
    <w:p w14:paraId="466091AF" w14:textId="77777777" w:rsidR="00CD42D0" w:rsidRPr="00CD42D0" w:rsidRDefault="00CD42D0" w:rsidP="00AB4D08">
      <w:pPr>
        <w:pStyle w:val="Prrafodelista"/>
        <w:numPr>
          <w:ilvl w:val="0"/>
          <w:numId w:val="6"/>
        </w:numPr>
        <w:spacing w:line="240" w:lineRule="auto"/>
        <w:ind w:left="1276" w:hanging="283"/>
        <w:jc w:val="both"/>
        <w:rPr>
          <w:rFonts w:ascii="Times New Roman" w:eastAsia="Arial" w:hAnsi="Times New Roman"/>
          <w:b/>
          <w:color w:val="000000" w:themeColor="text1"/>
          <w:sz w:val="24"/>
          <w:szCs w:val="24"/>
        </w:rPr>
      </w:pPr>
      <w:r w:rsidRPr="00CD42D0">
        <w:rPr>
          <w:rFonts w:ascii="Times New Roman" w:eastAsia="Arial" w:hAnsi="Times New Roman"/>
          <w:color w:val="000000" w:themeColor="text1"/>
          <w:sz w:val="24"/>
          <w:szCs w:val="24"/>
        </w:rPr>
        <w:t>Terminal de Transportes S.A.</w:t>
      </w:r>
    </w:p>
    <w:p w14:paraId="267ECAB9" w14:textId="77777777" w:rsidR="00CD42D0" w:rsidRPr="00CD42D0" w:rsidRDefault="00CD42D0" w:rsidP="00AB4D08">
      <w:pPr>
        <w:pStyle w:val="Prrafodelista"/>
        <w:numPr>
          <w:ilvl w:val="0"/>
          <w:numId w:val="6"/>
        </w:numPr>
        <w:spacing w:line="240" w:lineRule="auto"/>
        <w:ind w:left="1276" w:hanging="283"/>
        <w:jc w:val="both"/>
        <w:rPr>
          <w:rFonts w:ascii="Times New Roman" w:eastAsia="Arial" w:hAnsi="Times New Roman"/>
          <w:b/>
          <w:color w:val="000000" w:themeColor="text1"/>
          <w:sz w:val="24"/>
          <w:szCs w:val="24"/>
        </w:rPr>
      </w:pPr>
      <w:r w:rsidRPr="00CD42D0">
        <w:rPr>
          <w:rFonts w:ascii="Times New Roman" w:eastAsia="Arial" w:hAnsi="Times New Roman"/>
          <w:color w:val="000000" w:themeColor="text1"/>
          <w:sz w:val="24"/>
          <w:szCs w:val="24"/>
        </w:rPr>
        <w:t>Metro de Bogotá S.A.</w:t>
      </w:r>
    </w:p>
    <w:p w14:paraId="62478D3E" w14:textId="77777777" w:rsidR="00CD42D0" w:rsidRPr="00CD42D0" w:rsidRDefault="00CD42D0" w:rsidP="00AB4D08">
      <w:pPr>
        <w:pStyle w:val="Prrafodelista"/>
        <w:numPr>
          <w:ilvl w:val="0"/>
          <w:numId w:val="6"/>
        </w:numPr>
        <w:spacing w:line="240" w:lineRule="auto"/>
        <w:ind w:left="1276" w:hanging="283"/>
        <w:jc w:val="both"/>
        <w:rPr>
          <w:rFonts w:ascii="Times New Roman" w:eastAsia="Arial" w:hAnsi="Times New Roman"/>
          <w:b/>
          <w:color w:val="000000" w:themeColor="text1"/>
          <w:sz w:val="24"/>
          <w:szCs w:val="24"/>
        </w:rPr>
      </w:pPr>
      <w:r w:rsidRPr="00CD42D0">
        <w:rPr>
          <w:rFonts w:ascii="Times New Roman" w:eastAsia="Arial" w:hAnsi="Times New Roman"/>
          <w:color w:val="000000" w:themeColor="text1"/>
          <w:sz w:val="24"/>
          <w:szCs w:val="24"/>
        </w:rPr>
        <w:t>ETB S.A. E.S.P.</w:t>
      </w:r>
    </w:p>
    <w:p w14:paraId="49800DB3" w14:textId="75B2F63E" w:rsidR="00CD42D0" w:rsidRPr="00CD42D0" w:rsidRDefault="00CD42D0" w:rsidP="00AB4D08">
      <w:pPr>
        <w:spacing w:line="240" w:lineRule="auto"/>
        <w:ind w:left="567"/>
        <w:contextualSpacing/>
        <w:jc w:val="both"/>
        <w:rPr>
          <w:rFonts w:ascii="Times New Roman" w:eastAsia="Arial" w:hAnsi="Times New Roman"/>
          <w:b/>
          <w:color w:val="000000" w:themeColor="text1"/>
          <w:sz w:val="24"/>
          <w:szCs w:val="24"/>
        </w:rPr>
      </w:pPr>
      <w:r w:rsidRPr="00CD42D0">
        <w:rPr>
          <w:rFonts w:ascii="Times New Roman" w:eastAsia="Arial" w:hAnsi="Times New Roman"/>
          <w:color w:val="000000" w:themeColor="text1"/>
          <w:sz w:val="24"/>
          <w:szCs w:val="24"/>
        </w:rPr>
        <w:t>Estas se clasifican en la categoría del costo puesto que no se esperan negociar, no otorgan control o control conjunto, ni influencia significativa sobre las entidades emisoras y le otorgan al IDU derechos participativos en sus resultados.</w:t>
      </w:r>
    </w:p>
    <w:p w14:paraId="5105E781" w14:textId="2247673C" w:rsidR="00CD42D0" w:rsidRPr="00CD42D0" w:rsidRDefault="00240936" w:rsidP="00AB4D08">
      <w:pPr>
        <w:spacing w:line="240" w:lineRule="auto"/>
        <w:ind w:left="567"/>
        <w:contextualSpacing/>
        <w:rPr>
          <w:rFonts w:ascii="Times New Roman" w:eastAsia="Arial" w:hAnsi="Times New Roman"/>
          <w:b/>
          <w:color w:val="000000" w:themeColor="text1"/>
          <w:sz w:val="24"/>
          <w:szCs w:val="24"/>
        </w:rPr>
      </w:pPr>
      <w:r w:rsidRPr="00240936">
        <w:rPr>
          <w:noProof/>
          <w:lang w:eastAsia="es-CO"/>
        </w:rPr>
        <w:drawing>
          <wp:anchor distT="0" distB="0" distL="114300" distR="114300" simplePos="0" relativeHeight="251671552" behindDoc="0" locked="0" layoutInCell="1" allowOverlap="1" wp14:anchorId="26359205" wp14:editId="71991CC1">
            <wp:simplePos x="0" y="0"/>
            <wp:positionH relativeFrom="column">
              <wp:posOffset>-288290</wp:posOffset>
            </wp:positionH>
            <wp:positionV relativeFrom="paragraph">
              <wp:posOffset>478155</wp:posOffset>
            </wp:positionV>
            <wp:extent cx="6436360" cy="1504950"/>
            <wp:effectExtent l="0" t="0" r="2540" b="0"/>
            <wp:wrapThrough wrapText="bothSides">
              <wp:wrapPolygon edited="0">
                <wp:start x="0" y="0"/>
                <wp:lineTo x="0" y="21327"/>
                <wp:lineTo x="19818" y="21327"/>
                <wp:lineTo x="21353" y="20506"/>
                <wp:lineTo x="21545" y="20233"/>
                <wp:lineTo x="21545" y="0"/>
                <wp:lineTo x="0" y="0"/>
              </wp:wrapPolygon>
            </wp:wrapThrough>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63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2D0" w:rsidRPr="00CD42D0">
        <w:rPr>
          <w:rFonts w:ascii="Times New Roman" w:eastAsia="Arial" w:hAnsi="Times New Roman"/>
          <w:color w:val="000000" w:themeColor="text1"/>
          <w:sz w:val="24"/>
          <w:szCs w:val="24"/>
        </w:rPr>
        <w:t>La actualización de las inversiones se presenta con la información suministrada por cada una de las entidades</w:t>
      </w:r>
      <w:r w:rsidR="00CD42D0">
        <w:rPr>
          <w:rFonts w:ascii="Times New Roman" w:eastAsia="Arial" w:hAnsi="Times New Roman"/>
          <w:color w:val="000000" w:themeColor="text1"/>
          <w:sz w:val="24"/>
          <w:szCs w:val="24"/>
        </w:rPr>
        <w:t xml:space="preserve">, con corte a </w:t>
      </w:r>
      <w:r w:rsidR="00CD42D0" w:rsidRPr="00CD42D0">
        <w:rPr>
          <w:rFonts w:ascii="Times New Roman" w:eastAsia="Arial" w:hAnsi="Times New Roman"/>
          <w:color w:val="000000" w:themeColor="text1"/>
          <w:sz w:val="24"/>
          <w:szCs w:val="24"/>
        </w:rPr>
        <w:t>diciembre 31 de 2019</w:t>
      </w:r>
      <w:r w:rsidR="00CD42D0">
        <w:rPr>
          <w:rFonts w:ascii="Times New Roman" w:eastAsia="Arial" w:hAnsi="Times New Roman"/>
          <w:color w:val="000000" w:themeColor="text1"/>
          <w:sz w:val="24"/>
          <w:szCs w:val="24"/>
        </w:rPr>
        <w:t>:</w:t>
      </w:r>
    </w:p>
    <w:p w14:paraId="3356CB8B" w14:textId="77777777" w:rsidR="00D71FB3" w:rsidRPr="00D71FB3" w:rsidRDefault="00D71FB3" w:rsidP="00AB4D08">
      <w:pPr>
        <w:spacing w:line="240" w:lineRule="auto"/>
        <w:ind w:left="567"/>
        <w:contextualSpacing/>
        <w:jc w:val="both"/>
        <w:rPr>
          <w:rFonts w:ascii="Times New Roman" w:eastAsia="Arial" w:hAnsi="Times New Roman"/>
          <w:color w:val="000000" w:themeColor="text1"/>
          <w:sz w:val="24"/>
          <w:szCs w:val="24"/>
        </w:rPr>
      </w:pPr>
      <w:r w:rsidRPr="00D71FB3">
        <w:rPr>
          <w:rFonts w:ascii="Times New Roman" w:eastAsia="Arial" w:hAnsi="Times New Roman"/>
          <w:color w:val="000000" w:themeColor="text1"/>
          <w:sz w:val="24"/>
          <w:szCs w:val="24"/>
        </w:rPr>
        <w:t>Como podemos observar, no se presentaron variaciones, con respecto a la vigencia anterior, de las inversiones de administración de liquidez al costo, pues no se realizaron transacciones que pudieran incrementar o disminuir el saldo contable de las mismas.</w:t>
      </w:r>
    </w:p>
    <w:p w14:paraId="23CB5A61" w14:textId="77777777" w:rsidR="00D71FB3" w:rsidRPr="00D71FB3" w:rsidRDefault="00D71FB3" w:rsidP="00AB4D08">
      <w:pPr>
        <w:spacing w:line="240" w:lineRule="auto"/>
        <w:ind w:left="567"/>
        <w:contextualSpacing/>
        <w:rPr>
          <w:rFonts w:ascii="Times New Roman" w:eastAsia="Arial" w:hAnsi="Times New Roman"/>
          <w:color w:val="000000" w:themeColor="text1"/>
          <w:sz w:val="24"/>
          <w:szCs w:val="24"/>
        </w:rPr>
      </w:pPr>
      <w:r w:rsidRPr="00D71FB3">
        <w:rPr>
          <w:rFonts w:ascii="Times New Roman" w:eastAsia="Arial" w:hAnsi="Times New Roman"/>
          <w:color w:val="000000" w:themeColor="text1"/>
          <w:sz w:val="24"/>
          <w:szCs w:val="24"/>
        </w:rPr>
        <w:tab/>
      </w:r>
      <w:r w:rsidRPr="00D71FB3">
        <w:rPr>
          <w:rFonts w:ascii="Times New Roman" w:eastAsia="Arial" w:hAnsi="Times New Roman"/>
          <w:color w:val="000000" w:themeColor="text1"/>
          <w:sz w:val="24"/>
          <w:szCs w:val="24"/>
        </w:rPr>
        <w:tab/>
      </w:r>
    </w:p>
    <w:p w14:paraId="4B570EA2" w14:textId="77777777" w:rsidR="00D71FB3" w:rsidRDefault="00D71FB3" w:rsidP="00AB4D08">
      <w:pPr>
        <w:spacing w:line="240" w:lineRule="auto"/>
        <w:ind w:left="567"/>
        <w:contextualSpacing/>
        <w:rPr>
          <w:rFonts w:ascii="Times New Roman" w:eastAsia="Arial" w:hAnsi="Times New Roman"/>
          <w:color w:val="000000" w:themeColor="text1"/>
          <w:sz w:val="24"/>
          <w:szCs w:val="24"/>
        </w:rPr>
      </w:pPr>
      <w:r w:rsidRPr="00D71FB3">
        <w:rPr>
          <w:rFonts w:ascii="Times New Roman" w:eastAsia="Arial" w:hAnsi="Times New Roman"/>
          <w:color w:val="000000" w:themeColor="text1"/>
          <w:sz w:val="24"/>
          <w:szCs w:val="24"/>
        </w:rPr>
        <w:t>Deterioro</w:t>
      </w:r>
    </w:p>
    <w:p w14:paraId="014CC2DA" w14:textId="77777777" w:rsidR="00DE7310" w:rsidRPr="00D71FB3" w:rsidRDefault="00DE7310" w:rsidP="00AB4D08">
      <w:pPr>
        <w:spacing w:line="240" w:lineRule="auto"/>
        <w:ind w:left="567"/>
        <w:contextualSpacing/>
        <w:rPr>
          <w:rFonts w:ascii="Times New Roman" w:eastAsia="Arial" w:hAnsi="Times New Roman"/>
          <w:color w:val="000000" w:themeColor="text1"/>
          <w:sz w:val="24"/>
          <w:szCs w:val="24"/>
        </w:rPr>
      </w:pPr>
    </w:p>
    <w:p w14:paraId="65716B00" w14:textId="043A3F25" w:rsidR="002C28EE" w:rsidRPr="00D71FB3" w:rsidRDefault="00D71FB3" w:rsidP="00AB4D08">
      <w:pPr>
        <w:spacing w:line="240" w:lineRule="auto"/>
        <w:ind w:left="567"/>
        <w:contextualSpacing/>
        <w:jc w:val="both"/>
        <w:rPr>
          <w:rFonts w:ascii="Times New Roman" w:hAnsi="Times New Roman"/>
          <w:sz w:val="24"/>
          <w:szCs w:val="24"/>
        </w:rPr>
      </w:pPr>
      <w:r w:rsidRPr="00D71FB3">
        <w:rPr>
          <w:rFonts w:ascii="Times New Roman" w:eastAsia="Arial" w:hAnsi="Times New Roman"/>
          <w:color w:val="000000" w:themeColor="text1"/>
          <w:sz w:val="24"/>
          <w:szCs w:val="24"/>
        </w:rPr>
        <w:t>Durante la vigencia 2019  se presentó incremento en el deterioro de las inversiones de las entidades Transmilenio S.A. y  ETB S.A.  E.S.P., el cual tuvo origen en la disminución del valor intrínseco de las acciones en dichas sociedades.  Sin embargo al finalizar la vigencia se presentó un incremento del valor intrínseco que permitió recuperar sustancialmente el deterioro acumulado, quedando como saldo del deterioro acumulado $4.414</w:t>
      </w:r>
      <w:r w:rsidR="00DE7310">
        <w:rPr>
          <w:rFonts w:ascii="Times New Roman" w:eastAsia="Arial" w:hAnsi="Times New Roman"/>
          <w:color w:val="000000" w:themeColor="text1"/>
          <w:sz w:val="24"/>
          <w:szCs w:val="24"/>
        </w:rPr>
        <w:t xml:space="preserve">, con corte </w:t>
      </w:r>
      <w:r w:rsidRPr="00D71FB3">
        <w:rPr>
          <w:rFonts w:ascii="Times New Roman" w:eastAsia="Arial" w:hAnsi="Times New Roman"/>
          <w:color w:val="000000" w:themeColor="text1"/>
          <w:sz w:val="24"/>
          <w:szCs w:val="24"/>
        </w:rPr>
        <w:t>a 31 de diciembre de 2019.</w:t>
      </w:r>
    </w:p>
    <w:p w14:paraId="6062CFD4" w14:textId="77777777" w:rsidR="002A7B45" w:rsidRPr="00D71FB3" w:rsidRDefault="002A7B45" w:rsidP="00AB4D08">
      <w:pPr>
        <w:spacing w:after="0" w:line="240" w:lineRule="auto"/>
        <w:ind w:left="567"/>
        <w:contextualSpacing/>
        <w:jc w:val="both"/>
        <w:rPr>
          <w:rFonts w:ascii="Times New Roman" w:hAnsi="Times New Roman"/>
          <w:sz w:val="24"/>
          <w:szCs w:val="24"/>
        </w:rPr>
      </w:pPr>
    </w:p>
    <w:p w14:paraId="6C81FF6A" w14:textId="5611EB27" w:rsidR="00051327" w:rsidRPr="00CD42D0" w:rsidRDefault="00240936" w:rsidP="00AB4D08">
      <w:pPr>
        <w:spacing w:after="0" w:line="240" w:lineRule="auto"/>
        <w:ind w:left="567"/>
        <w:contextualSpacing/>
        <w:jc w:val="both"/>
        <w:rPr>
          <w:rFonts w:ascii="Times New Roman" w:hAnsi="Times New Roman"/>
          <w:sz w:val="24"/>
          <w:szCs w:val="24"/>
        </w:rPr>
      </w:pPr>
      <w:r w:rsidRPr="00240936">
        <w:rPr>
          <w:noProof/>
          <w:lang w:eastAsia="es-CO"/>
        </w:rPr>
        <w:lastRenderedPageBreak/>
        <w:drawing>
          <wp:inline distT="0" distB="0" distL="0" distR="0" wp14:anchorId="5D234FCA" wp14:editId="100F7114">
            <wp:extent cx="4323284" cy="1638297"/>
            <wp:effectExtent l="0" t="0" r="1270"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4947" cy="1642717"/>
                    </a:xfrm>
                    <a:prstGeom prst="rect">
                      <a:avLst/>
                    </a:prstGeom>
                    <a:noFill/>
                    <a:ln>
                      <a:noFill/>
                    </a:ln>
                  </pic:spPr>
                </pic:pic>
              </a:graphicData>
            </a:graphic>
          </wp:inline>
        </w:drawing>
      </w:r>
    </w:p>
    <w:p w14:paraId="523077D9" w14:textId="77777777" w:rsidR="00051327" w:rsidRDefault="00051327" w:rsidP="00AB4D08">
      <w:pPr>
        <w:spacing w:after="0" w:line="240" w:lineRule="auto"/>
        <w:ind w:left="567"/>
        <w:contextualSpacing/>
        <w:jc w:val="both"/>
        <w:rPr>
          <w:rFonts w:ascii="Times New Roman" w:hAnsi="Times New Roman"/>
          <w:sz w:val="24"/>
          <w:szCs w:val="24"/>
          <w:highlight w:val="yellow"/>
        </w:rPr>
      </w:pPr>
    </w:p>
    <w:p w14:paraId="4D3E04C1" w14:textId="77777777" w:rsidR="00CA4704" w:rsidRDefault="00CA4704" w:rsidP="00AB4D08">
      <w:pPr>
        <w:spacing w:line="240" w:lineRule="auto"/>
        <w:ind w:left="567"/>
        <w:contextualSpacing/>
        <w:jc w:val="both"/>
        <w:rPr>
          <w:rFonts w:ascii="Times New Roman" w:eastAsia="Arial" w:hAnsi="Times New Roman"/>
          <w:color w:val="000000" w:themeColor="text1"/>
          <w:sz w:val="24"/>
          <w:szCs w:val="24"/>
        </w:rPr>
      </w:pPr>
      <w:r w:rsidRPr="00CA4704">
        <w:rPr>
          <w:rFonts w:ascii="Times New Roman" w:eastAsia="Arial" w:hAnsi="Times New Roman"/>
          <w:color w:val="000000" w:themeColor="text1"/>
          <w:sz w:val="24"/>
          <w:szCs w:val="24"/>
        </w:rPr>
        <w:t>Dividendos causados durante el periodo</w:t>
      </w:r>
    </w:p>
    <w:p w14:paraId="0A40FFF4" w14:textId="77777777" w:rsidR="00E16568" w:rsidRPr="00CA4704" w:rsidRDefault="00E16568" w:rsidP="00AB4D08">
      <w:pPr>
        <w:spacing w:line="240" w:lineRule="auto"/>
        <w:ind w:left="567"/>
        <w:contextualSpacing/>
        <w:jc w:val="both"/>
        <w:rPr>
          <w:rFonts w:ascii="Times New Roman" w:eastAsia="Arial" w:hAnsi="Times New Roman"/>
          <w:color w:val="000000" w:themeColor="text1"/>
          <w:sz w:val="24"/>
          <w:szCs w:val="24"/>
        </w:rPr>
      </w:pPr>
    </w:p>
    <w:p w14:paraId="181E6D5B" w14:textId="10000147" w:rsidR="00CA4704" w:rsidRPr="00CA4704" w:rsidRDefault="00CA4704" w:rsidP="00AB4D08">
      <w:pPr>
        <w:spacing w:line="240" w:lineRule="auto"/>
        <w:ind w:left="567"/>
        <w:contextualSpacing/>
        <w:jc w:val="both"/>
        <w:rPr>
          <w:rFonts w:ascii="Times New Roman" w:eastAsia="Arial" w:hAnsi="Times New Roman"/>
          <w:b/>
          <w:color w:val="000000" w:themeColor="text1"/>
          <w:sz w:val="24"/>
          <w:szCs w:val="24"/>
        </w:rPr>
      </w:pPr>
      <w:r w:rsidRPr="00CA4704">
        <w:rPr>
          <w:rFonts w:ascii="Times New Roman" w:eastAsia="Arial" w:hAnsi="Times New Roman"/>
          <w:color w:val="000000" w:themeColor="text1"/>
          <w:sz w:val="24"/>
          <w:szCs w:val="24"/>
        </w:rPr>
        <w:t>Durante la vigencia 2019</w:t>
      </w:r>
      <w:r>
        <w:rPr>
          <w:rFonts w:ascii="Times New Roman" w:eastAsia="Arial" w:hAnsi="Times New Roman"/>
          <w:color w:val="000000" w:themeColor="text1"/>
          <w:sz w:val="24"/>
          <w:szCs w:val="24"/>
        </w:rPr>
        <w:t>,</w:t>
      </w:r>
      <w:r w:rsidRPr="00CA4704">
        <w:rPr>
          <w:rFonts w:ascii="Times New Roman" w:eastAsia="Arial" w:hAnsi="Times New Roman"/>
          <w:color w:val="000000" w:themeColor="text1"/>
          <w:sz w:val="24"/>
          <w:szCs w:val="24"/>
        </w:rPr>
        <w:t xml:space="preserve"> no se causaron dividendos de las inversiones de administración de liquidez al costo.</w:t>
      </w:r>
    </w:p>
    <w:p w14:paraId="1E274F37" w14:textId="0B96AF34" w:rsidR="00FD54D1" w:rsidRPr="00CA4704" w:rsidRDefault="00FD54D1" w:rsidP="00AB4D08">
      <w:pPr>
        <w:spacing w:after="0" w:line="240" w:lineRule="auto"/>
        <w:ind w:left="567"/>
        <w:contextualSpacing/>
        <w:jc w:val="center"/>
        <w:rPr>
          <w:rFonts w:ascii="Times New Roman" w:hAnsi="Times New Roman"/>
          <w:sz w:val="24"/>
          <w:szCs w:val="24"/>
          <w:highlight w:val="yellow"/>
        </w:rPr>
      </w:pPr>
    </w:p>
    <w:p w14:paraId="534481AB" w14:textId="77777777" w:rsidR="00FD54D1" w:rsidRPr="005416A4" w:rsidRDefault="00FD54D1" w:rsidP="00AB4D08">
      <w:pPr>
        <w:spacing w:after="0" w:line="240" w:lineRule="auto"/>
        <w:contextualSpacing/>
        <w:jc w:val="both"/>
        <w:rPr>
          <w:rFonts w:ascii="Times New Roman" w:hAnsi="Times New Roman"/>
          <w:sz w:val="24"/>
          <w:szCs w:val="24"/>
        </w:rPr>
      </w:pPr>
    </w:p>
    <w:p w14:paraId="5308040F" w14:textId="551B67C8" w:rsidR="000C20E0" w:rsidRPr="005416A4" w:rsidRDefault="00572CDA" w:rsidP="00AB4D08">
      <w:pPr>
        <w:pStyle w:val="Ttulo1"/>
        <w:contextualSpacing/>
        <w:rPr>
          <w:rFonts w:cs="Times New Roman"/>
          <w:sz w:val="24"/>
          <w:szCs w:val="24"/>
        </w:rPr>
      </w:pPr>
      <w:bookmarkStart w:id="33" w:name="_Toc32317248"/>
      <w:r w:rsidRPr="005416A4">
        <w:rPr>
          <w:rFonts w:cs="Times New Roman"/>
          <w:sz w:val="24"/>
          <w:szCs w:val="24"/>
        </w:rPr>
        <w:t>NOTA 7. CUENTAS POR COBRAR</w:t>
      </w:r>
      <w:bookmarkEnd w:id="33"/>
    </w:p>
    <w:p w14:paraId="759094EE" w14:textId="77777777" w:rsidR="00A72395" w:rsidRPr="005416A4" w:rsidRDefault="00A72395" w:rsidP="00AB4D08">
      <w:pPr>
        <w:spacing w:after="0" w:line="240" w:lineRule="auto"/>
        <w:contextualSpacing/>
        <w:jc w:val="both"/>
        <w:rPr>
          <w:rFonts w:ascii="Times New Roman" w:hAnsi="Times New Roman"/>
          <w:b/>
          <w:sz w:val="24"/>
          <w:szCs w:val="24"/>
        </w:rPr>
      </w:pPr>
    </w:p>
    <w:p w14:paraId="46AE545D" w14:textId="77777777" w:rsidR="00572CDA" w:rsidRPr="005416A4" w:rsidRDefault="00E067B1" w:rsidP="00AB4D08">
      <w:pPr>
        <w:pStyle w:val="Ttulo2"/>
        <w:numPr>
          <w:ilvl w:val="0"/>
          <w:numId w:val="0"/>
        </w:numPr>
        <w:spacing w:line="240" w:lineRule="auto"/>
        <w:contextualSpacing/>
        <w:rPr>
          <w:rFonts w:cs="Times New Roman"/>
          <w:szCs w:val="24"/>
        </w:rPr>
      </w:pPr>
      <w:bookmarkStart w:id="34" w:name="_Toc32317249"/>
      <w:r w:rsidRPr="005416A4">
        <w:rPr>
          <w:rFonts w:cs="Times New Roman"/>
          <w:szCs w:val="24"/>
        </w:rPr>
        <w:t>Composición</w:t>
      </w:r>
      <w:bookmarkEnd w:id="34"/>
    </w:p>
    <w:p w14:paraId="28E74ED3" w14:textId="77777777" w:rsidR="00E067B1" w:rsidRPr="005416A4" w:rsidRDefault="00E067B1" w:rsidP="00AB4D08">
      <w:pPr>
        <w:spacing w:after="0" w:line="240" w:lineRule="auto"/>
        <w:contextualSpacing/>
        <w:jc w:val="both"/>
        <w:rPr>
          <w:rFonts w:ascii="Times New Roman" w:hAnsi="Times New Roman"/>
          <w:b/>
          <w:sz w:val="24"/>
          <w:szCs w:val="24"/>
        </w:rPr>
      </w:pPr>
    </w:p>
    <w:p w14:paraId="4FC09912" w14:textId="00EFAB66" w:rsidR="00FC02F9" w:rsidRPr="005416A4" w:rsidRDefault="00FC02F9" w:rsidP="00AB4D08">
      <w:pPr>
        <w:pStyle w:val="Ttulo2"/>
        <w:numPr>
          <w:ilvl w:val="1"/>
          <w:numId w:val="25"/>
        </w:numPr>
        <w:spacing w:line="240" w:lineRule="auto"/>
        <w:ind w:left="567" w:hanging="567"/>
        <w:contextualSpacing/>
        <w:rPr>
          <w:rFonts w:cs="Times New Roman"/>
          <w:szCs w:val="24"/>
        </w:rPr>
      </w:pPr>
      <w:bookmarkStart w:id="35" w:name="_Toc32317250"/>
      <w:r>
        <w:rPr>
          <w:rFonts w:cs="Times New Roman"/>
          <w:szCs w:val="24"/>
        </w:rPr>
        <w:t xml:space="preserve">Contribuciones </w:t>
      </w:r>
      <w:r w:rsidRPr="005416A4">
        <w:rPr>
          <w:rFonts w:cs="Times New Roman"/>
          <w:szCs w:val="24"/>
        </w:rPr>
        <w:t>e ingresos no tributarios</w:t>
      </w:r>
      <w:bookmarkEnd w:id="35"/>
    </w:p>
    <w:p w14:paraId="051B6A8D" w14:textId="77777777" w:rsidR="00FC02F9" w:rsidRPr="00FC02F9" w:rsidRDefault="00FC02F9" w:rsidP="00AB4D08">
      <w:pPr>
        <w:pStyle w:val="Prrafodelista"/>
        <w:spacing w:after="0" w:line="240" w:lineRule="auto"/>
        <w:jc w:val="both"/>
        <w:rPr>
          <w:rFonts w:ascii="Times New Roman" w:hAnsi="Times New Roman"/>
          <w:sz w:val="24"/>
          <w:szCs w:val="24"/>
        </w:rPr>
      </w:pPr>
    </w:p>
    <w:p w14:paraId="70F373E6" w14:textId="5B31C3D5"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Las cuentas por cobrar por Contribuciones e Ingresos No Tributarios están conformadas por los siguientes conceptos</w:t>
      </w:r>
      <w:r>
        <w:rPr>
          <w:rFonts w:ascii="Times New Roman" w:eastAsia="Arial" w:hAnsi="Times New Roman"/>
          <w:sz w:val="24"/>
          <w:szCs w:val="24"/>
        </w:rPr>
        <w:t>,</w:t>
      </w:r>
      <w:r w:rsidRPr="00FC02F9">
        <w:rPr>
          <w:rFonts w:ascii="Times New Roman" w:eastAsia="Arial" w:hAnsi="Times New Roman"/>
          <w:sz w:val="24"/>
          <w:szCs w:val="24"/>
        </w:rPr>
        <w:t xml:space="preserve"> </w:t>
      </w:r>
      <w:r>
        <w:rPr>
          <w:rFonts w:ascii="Times New Roman" w:eastAsia="Arial" w:hAnsi="Times New Roman"/>
          <w:sz w:val="24"/>
          <w:szCs w:val="24"/>
        </w:rPr>
        <w:t xml:space="preserve">con corte </w:t>
      </w:r>
      <w:r w:rsidRPr="00FC02F9">
        <w:rPr>
          <w:rFonts w:ascii="Times New Roman" w:eastAsia="Arial" w:hAnsi="Times New Roman"/>
          <w:sz w:val="24"/>
          <w:szCs w:val="24"/>
        </w:rPr>
        <w:t>al 31 de diciembre de 2019:</w:t>
      </w:r>
    </w:p>
    <w:p w14:paraId="00BA3EF6" w14:textId="0FA788A8" w:rsidR="00FC02F9" w:rsidRDefault="00FC02F9" w:rsidP="00AB4D08">
      <w:pPr>
        <w:pStyle w:val="Prrafodelista"/>
        <w:spacing w:after="0" w:line="240" w:lineRule="auto"/>
        <w:ind w:left="0"/>
        <w:jc w:val="center"/>
        <w:rPr>
          <w:rFonts w:ascii="Times New Roman" w:hAnsi="Times New Roman"/>
          <w:sz w:val="24"/>
          <w:szCs w:val="24"/>
        </w:rPr>
      </w:pPr>
      <w:r w:rsidRPr="00684D59">
        <w:rPr>
          <w:noProof/>
          <w:lang w:eastAsia="es-CO"/>
        </w:rPr>
        <w:drawing>
          <wp:inline distT="0" distB="0" distL="0" distR="0" wp14:anchorId="29324F54" wp14:editId="0A1A0922">
            <wp:extent cx="5608320" cy="29578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8320" cy="2957830"/>
                    </a:xfrm>
                    <a:prstGeom prst="rect">
                      <a:avLst/>
                    </a:prstGeom>
                  </pic:spPr>
                </pic:pic>
              </a:graphicData>
            </a:graphic>
          </wp:inline>
        </w:drawing>
      </w:r>
    </w:p>
    <w:p w14:paraId="2BBD2C13" w14:textId="77777777" w:rsidR="00FC02F9" w:rsidRPr="00FC02F9" w:rsidRDefault="00FC02F9" w:rsidP="00AB4D08">
      <w:pPr>
        <w:pStyle w:val="Prrafodelista"/>
        <w:spacing w:after="0" w:line="240" w:lineRule="auto"/>
        <w:ind w:left="0"/>
        <w:jc w:val="both"/>
        <w:rPr>
          <w:rFonts w:ascii="Times New Roman" w:hAnsi="Times New Roman"/>
          <w:sz w:val="24"/>
          <w:szCs w:val="24"/>
        </w:rPr>
      </w:pPr>
    </w:p>
    <w:p w14:paraId="23549333"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lastRenderedPageBreak/>
        <w:t>Las contribuciones representa el 63% sobre el valor total de las cuentas por cobrar, equivalente a $230.207.172.588, con las siguientes condiciones de deuda y políticas de recaudo establecidas para los acuerdos de valorización, así:</w:t>
      </w:r>
    </w:p>
    <w:p w14:paraId="7E9FD208" w14:textId="77777777" w:rsidR="00FC02F9" w:rsidRPr="00FC02F9" w:rsidRDefault="00FC02F9" w:rsidP="00AB4D08">
      <w:pPr>
        <w:spacing w:line="240" w:lineRule="auto"/>
        <w:ind w:left="567"/>
        <w:contextualSpacing/>
        <w:jc w:val="both"/>
        <w:rPr>
          <w:rFonts w:ascii="Times New Roman" w:eastAsia="Arial" w:hAnsi="Times New Roman"/>
          <w:sz w:val="24"/>
          <w:szCs w:val="24"/>
        </w:rPr>
      </w:pPr>
    </w:p>
    <w:p w14:paraId="54497A2F"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Contribuciones</w:t>
      </w:r>
    </w:p>
    <w:p w14:paraId="52CE553D" w14:textId="0753E84F" w:rsidR="00FC02F9" w:rsidRPr="00FC02F9" w:rsidRDefault="00FC02F9" w:rsidP="00AB4D08">
      <w:pPr>
        <w:pStyle w:val="Prrafodelista"/>
        <w:numPr>
          <w:ilvl w:val="0"/>
          <w:numId w:val="6"/>
        </w:numPr>
        <w:spacing w:line="240" w:lineRule="auto"/>
        <w:jc w:val="both"/>
        <w:rPr>
          <w:rFonts w:ascii="Times New Roman" w:eastAsia="Arial" w:hAnsi="Times New Roman"/>
          <w:sz w:val="24"/>
          <w:szCs w:val="24"/>
        </w:rPr>
      </w:pPr>
      <w:r w:rsidRPr="00FC02F9">
        <w:rPr>
          <w:rFonts w:ascii="Times New Roman" w:eastAsia="Arial" w:hAnsi="Times New Roman"/>
          <w:sz w:val="24"/>
          <w:szCs w:val="24"/>
        </w:rPr>
        <w:t>Proyecto de valorización acuerdo general</w:t>
      </w:r>
    </w:p>
    <w:p w14:paraId="7AB92692" w14:textId="7DDA51A8" w:rsidR="00FC02F9" w:rsidRPr="00FC02F9" w:rsidRDefault="00686D47" w:rsidP="00AB4D08">
      <w:pPr>
        <w:spacing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 xml:space="preserve">Plazo: </w:t>
      </w:r>
      <w:r w:rsidR="00FC02F9" w:rsidRPr="00FC02F9">
        <w:rPr>
          <w:rFonts w:ascii="Times New Roman" w:eastAsia="Arial" w:hAnsi="Times New Roman"/>
          <w:sz w:val="24"/>
          <w:szCs w:val="24"/>
        </w:rPr>
        <w:t>Hasta 15 meses</w:t>
      </w:r>
    </w:p>
    <w:p w14:paraId="2C09B9F5"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Valor cuota mínima</w:t>
      </w:r>
    </w:p>
    <w:p w14:paraId="0C2FBCDB"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Eje 0 y 1: $4.167</w:t>
      </w:r>
    </w:p>
    <w:p w14:paraId="1E6CD0A9"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Eje 22: $12.000</w:t>
      </w:r>
    </w:p>
    <w:p w14:paraId="4F8DB896" w14:textId="4338578D"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Descuentos: 1er mes.</w:t>
      </w:r>
    </w:p>
    <w:p w14:paraId="0AEF407E"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descuento del 10%.</w:t>
      </w:r>
    </w:p>
    <w:p w14:paraId="1789C7C4"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1BC16134" w14:textId="3C6000E0"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2do mes. Pago total descuento del 7.5%.</w:t>
      </w:r>
    </w:p>
    <w:p w14:paraId="64BAC7CD"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6C90015A" w14:textId="5CC6B913"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3er mes. Pago total descuento del 5%.</w:t>
      </w:r>
    </w:p>
    <w:p w14:paraId="6B90B98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2A2A562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penúltimo día hábil de cada mes.</w:t>
      </w:r>
    </w:p>
    <w:p w14:paraId="58511F42" w14:textId="2D643585" w:rsidR="00FC02F9" w:rsidRPr="00FC02F9" w:rsidRDefault="00FC02F9" w:rsidP="00AB4D08">
      <w:pPr>
        <w:pStyle w:val="Prrafodelista"/>
        <w:numPr>
          <w:ilvl w:val="0"/>
          <w:numId w:val="6"/>
        </w:numPr>
        <w:spacing w:after="0" w:line="240" w:lineRule="auto"/>
        <w:jc w:val="both"/>
        <w:rPr>
          <w:rFonts w:ascii="Times New Roman" w:eastAsia="Arial" w:hAnsi="Times New Roman"/>
          <w:sz w:val="24"/>
          <w:szCs w:val="24"/>
        </w:rPr>
      </w:pPr>
      <w:r w:rsidRPr="00FC02F9">
        <w:rPr>
          <w:rFonts w:ascii="Times New Roman" w:eastAsia="Arial" w:hAnsi="Times New Roman"/>
          <w:sz w:val="24"/>
          <w:szCs w:val="24"/>
        </w:rPr>
        <w:t>Proyecto de valorización acuerdo 25</w:t>
      </w:r>
      <w:r w:rsidR="001034F8">
        <w:rPr>
          <w:rFonts w:ascii="Times New Roman" w:eastAsia="Arial" w:hAnsi="Times New Roman"/>
          <w:sz w:val="24"/>
          <w:szCs w:val="24"/>
        </w:rPr>
        <w:t>/95</w:t>
      </w:r>
    </w:p>
    <w:p w14:paraId="3B290829" w14:textId="276CE28D" w:rsidR="00FC02F9" w:rsidRPr="00FC02F9" w:rsidRDefault="00FC02F9" w:rsidP="00AB4D08">
      <w:pPr>
        <w:spacing w:line="240" w:lineRule="auto"/>
        <w:ind w:left="567"/>
        <w:contextualSpacing/>
        <w:jc w:val="both"/>
        <w:rPr>
          <w:rFonts w:ascii="Times New Roman" w:eastAsia="Arial" w:hAnsi="Times New Roman"/>
          <w:sz w:val="24"/>
          <w:szCs w:val="24"/>
        </w:rPr>
      </w:pPr>
    </w:p>
    <w:p w14:paraId="302AD6ED" w14:textId="5BBF805B"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Plazo</w:t>
      </w:r>
      <w:r w:rsidR="00686D47">
        <w:rPr>
          <w:rFonts w:ascii="Times New Roman" w:eastAsia="Arial" w:hAnsi="Times New Roman"/>
          <w:sz w:val="24"/>
          <w:szCs w:val="24"/>
        </w:rPr>
        <w:t xml:space="preserve">: </w:t>
      </w:r>
      <w:r w:rsidRPr="00FC02F9">
        <w:rPr>
          <w:rFonts w:ascii="Times New Roman" w:eastAsia="Arial" w:hAnsi="Times New Roman"/>
          <w:sz w:val="24"/>
          <w:szCs w:val="24"/>
        </w:rPr>
        <w:t>Hasta 24 meses</w:t>
      </w:r>
    </w:p>
    <w:p w14:paraId="76840741"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Valor cuota mínima: $12.000</w:t>
      </w:r>
    </w:p>
    <w:p w14:paraId="42173B8E" w14:textId="79286FEC"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Descuentos: 1er mes.    </w:t>
      </w:r>
    </w:p>
    <w:p w14:paraId="105482A4"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descuento del 15%.</w:t>
      </w:r>
    </w:p>
    <w:p w14:paraId="15248F12"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del 50%</w:t>
      </w:r>
    </w:p>
    <w:p w14:paraId="36914F93"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7FA6906B" w14:textId="607EC35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2do mes. Pago total descuento del 10%.</w:t>
      </w:r>
    </w:p>
    <w:p w14:paraId="33FF46CB"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634B9F34" w14:textId="25D8E03C" w:rsidR="00FC02F9" w:rsidRPr="00FC02F9" w:rsidRDefault="00686D47" w:rsidP="00AB4D08">
      <w:pPr>
        <w:spacing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 xml:space="preserve">3er mes. </w:t>
      </w:r>
      <w:r w:rsidR="00FC02F9" w:rsidRPr="00FC02F9">
        <w:rPr>
          <w:rFonts w:ascii="Times New Roman" w:eastAsia="Arial" w:hAnsi="Times New Roman"/>
          <w:sz w:val="24"/>
          <w:szCs w:val="24"/>
        </w:rPr>
        <w:t>Pago total sin ningún descuento.</w:t>
      </w:r>
    </w:p>
    <w:p w14:paraId="6727765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6FF3C962"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Eje 5 – día 15 de cada mes o siguiente día hábil y Otros Ejes (Ejes 1, 3, 4, 6, 7 y 8), día 15 de cada mes o siguiente día hábil.</w:t>
      </w:r>
    </w:p>
    <w:p w14:paraId="7681B660" w14:textId="77777777" w:rsidR="00FC02F9" w:rsidRPr="00FC02F9" w:rsidRDefault="00FC02F9" w:rsidP="00AB4D08">
      <w:pPr>
        <w:spacing w:line="240" w:lineRule="auto"/>
        <w:ind w:left="567"/>
        <w:contextualSpacing/>
        <w:jc w:val="both"/>
        <w:rPr>
          <w:rFonts w:ascii="Times New Roman" w:eastAsia="Arial" w:hAnsi="Times New Roman"/>
          <w:sz w:val="24"/>
          <w:szCs w:val="24"/>
        </w:rPr>
      </w:pPr>
    </w:p>
    <w:p w14:paraId="1BA04866" w14:textId="7865FBAA" w:rsidR="00FC02F9" w:rsidRPr="00FC02F9" w:rsidRDefault="00FC02F9" w:rsidP="00AB4D08">
      <w:pPr>
        <w:pStyle w:val="Prrafodelista"/>
        <w:numPr>
          <w:ilvl w:val="0"/>
          <w:numId w:val="6"/>
        </w:numPr>
        <w:spacing w:after="0" w:line="240" w:lineRule="auto"/>
        <w:jc w:val="both"/>
        <w:rPr>
          <w:rFonts w:ascii="Times New Roman" w:eastAsia="Arial" w:hAnsi="Times New Roman"/>
          <w:sz w:val="24"/>
          <w:szCs w:val="24"/>
        </w:rPr>
      </w:pPr>
      <w:r w:rsidRPr="00FC02F9">
        <w:rPr>
          <w:rFonts w:ascii="Times New Roman" w:eastAsia="Arial" w:hAnsi="Times New Roman"/>
          <w:sz w:val="24"/>
          <w:szCs w:val="24"/>
        </w:rPr>
        <w:t>Proyecto de valorización acuerdo 48</w:t>
      </w:r>
      <w:r w:rsidR="001034F8">
        <w:rPr>
          <w:rFonts w:ascii="Times New Roman" w:eastAsia="Arial" w:hAnsi="Times New Roman"/>
          <w:sz w:val="24"/>
          <w:szCs w:val="24"/>
        </w:rPr>
        <w:t>/01</w:t>
      </w:r>
    </w:p>
    <w:p w14:paraId="631BA67A" w14:textId="77777777" w:rsidR="00FC02F9" w:rsidRDefault="00FC02F9" w:rsidP="00AB4D08">
      <w:pPr>
        <w:spacing w:line="240" w:lineRule="auto"/>
        <w:ind w:left="567"/>
        <w:contextualSpacing/>
        <w:jc w:val="both"/>
        <w:rPr>
          <w:rFonts w:ascii="Times New Roman" w:eastAsia="Arial" w:hAnsi="Times New Roman"/>
          <w:sz w:val="24"/>
          <w:szCs w:val="24"/>
        </w:rPr>
      </w:pPr>
    </w:p>
    <w:p w14:paraId="5A2FE184" w14:textId="01CB25E9"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Plazo: Hasta 24 meses</w:t>
      </w:r>
    </w:p>
    <w:p w14:paraId="79EB6D06"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Valor cuota mínima: $12.000</w:t>
      </w:r>
    </w:p>
    <w:p w14:paraId="57C28AD8" w14:textId="0C4F36AB"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Descuentos</w:t>
      </w:r>
      <w:r w:rsidR="00686D47">
        <w:rPr>
          <w:rFonts w:ascii="Times New Roman" w:eastAsia="Arial" w:hAnsi="Times New Roman"/>
          <w:sz w:val="24"/>
          <w:szCs w:val="24"/>
        </w:rPr>
        <w:t xml:space="preserve">: </w:t>
      </w:r>
      <w:r w:rsidRPr="00FC02F9">
        <w:rPr>
          <w:rFonts w:ascii="Times New Roman" w:eastAsia="Arial" w:hAnsi="Times New Roman"/>
          <w:sz w:val="24"/>
          <w:szCs w:val="24"/>
        </w:rPr>
        <w:t xml:space="preserve">1er mes.    </w:t>
      </w:r>
      <w:r w:rsidRPr="00FC02F9">
        <w:rPr>
          <w:rFonts w:ascii="Times New Roman" w:eastAsia="Arial" w:hAnsi="Times New Roman"/>
          <w:sz w:val="24"/>
          <w:szCs w:val="24"/>
        </w:rPr>
        <w:tab/>
      </w:r>
    </w:p>
    <w:p w14:paraId="5D55707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descuento del 15%.</w:t>
      </w:r>
    </w:p>
    <w:p w14:paraId="31C9341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0EE0378A" w14:textId="4E7E766B"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2do mes. Pago total descuento del 10%.</w:t>
      </w:r>
    </w:p>
    <w:p w14:paraId="4ABF7329"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2DB1D76B" w14:textId="0B4B9E38"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lastRenderedPageBreak/>
        <w:t>3er mes. Pago total sin ningún descuento.</w:t>
      </w:r>
    </w:p>
    <w:p w14:paraId="1AA1F073"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519237AE"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Eje 15 – día 15 de cada mes o siguiente día hábil y Otros Ejes (Ejes 11, 12, 13, 14, 16, 17 y 18), día 15 de cada mes o siguiente día hábil.</w:t>
      </w:r>
    </w:p>
    <w:p w14:paraId="716EE81F" w14:textId="77777777" w:rsidR="00FC02F9" w:rsidRPr="00FC02F9" w:rsidRDefault="00FC02F9" w:rsidP="00AB4D08">
      <w:pPr>
        <w:spacing w:line="240" w:lineRule="auto"/>
        <w:ind w:left="567"/>
        <w:contextualSpacing/>
        <w:jc w:val="both"/>
        <w:rPr>
          <w:rFonts w:ascii="Times New Roman" w:eastAsia="Arial" w:hAnsi="Times New Roman"/>
          <w:sz w:val="24"/>
          <w:szCs w:val="24"/>
        </w:rPr>
      </w:pPr>
    </w:p>
    <w:p w14:paraId="1833C20D" w14:textId="7B74AC7A" w:rsidR="00FC02F9" w:rsidRPr="00686D47" w:rsidRDefault="00FC02F9" w:rsidP="00AB4D08">
      <w:pPr>
        <w:pStyle w:val="Prrafodelista"/>
        <w:numPr>
          <w:ilvl w:val="0"/>
          <w:numId w:val="6"/>
        </w:numPr>
        <w:spacing w:line="240" w:lineRule="auto"/>
        <w:jc w:val="both"/>
        <w:rPr>
          <w:rFonts w:ascii="Times New Roman" w:eastAsia="Arial" w:hAnsi="Times New Roman"/>
          <w:sz w:val="24"/>
          <w:szCs w:val="24"/>
        </w:rPr>
      </w:pPr>
      <w:r w:rsidRPr="00686D47">
        <w:rPr>
          <w:rFonts w:ascii="Times New Roman" w:eastAsia="Arial" w:hAnsi="Times New Roman"/>
          <w:sz w:val="24"/>
          <w:szCs w:val="24"/>
        </w:rPr>
        <w:t>Proyecto de valorización acuerdo 180</w:t>
      </w:r>
      <w:r w:rsidR="001034F8">
        <w:rPr>
          <w:rFonts w:ascii="Times New Roman" w:eastAsia="Arial" w:hAnsi="Times New Roman"/>
          <w:sz w:val="24"/>
          <w:szCs w:val="24"/>
        </w:rPr>
        <w:t>/05</w:t>
      </w:r>
    </w:p>
    <w:p w14:paraId="10443D93" w14:textId="5BA570EB" w:rsidR="00FC02F9" w:rsidRPr="00FC02F9" w:rsidRDefault="00686D47" w:rsidP="00AB4D08">
      <w:pPr>
        <w:spacing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 xml:space="preserve">Plazo: </w:t>
      </w:r>
      <w:r w:rsidR="00FC02F9" w:rsidRPr="00FC02F9">
        <w:rPr>
          <w:rFonts w:ascii="Times New Roman" w:eastAsia="Arial" w:hAnsi="Times New Roman"/>
          <w:sz w:val="24"/>
          <w:szCs w:val="24"/>
        </w:rPr>
        <w:t>Hasta 12 meses</w:t>
      </w:r>
    </w:p>
    <w:p w14:paraId="24FAE82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Valor cuota mínima: $43.400</w:t>
      </w:r>
    </w:p>
    <w:p w14:paraId="48A8D90A" w14:textId="00FC4EE8"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Descuentos: 1ra factura con 3 fechas diferentes </w:t>
      </w:r>
    </w:p>
    <w:p w14:paraId="109B294E" w14:textId="46370C56"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1er vto. Pago total descuento del 15%.</w:t>
      </w:r>
    </w:p>
    <w:p w14:paraId="2B8C528E"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2do vto. </w:t>
      </w:r>
      <w:r w:rsidRPr="00FC02F9">
        <w:rPr>
          <w:rFonts w:ascii="Times New Roman" w:eastAsia="Arial" w:hAnsi="Times New Roman"/>
          <w:sz w:val="24"/>
          <w:szCs w:val="24"/>
        </w:rPr>
        <w:tab/>
        <w:t>Pago total descuento del 5%.</w:t>
      </w:r>
    </w:p>
    <w:p w14:paraId="4147D46C" w14:textId="006656F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3er vto. Pago total sin descuento.</w:t>
      </w:r>
    </w:p>
    <w:p w14:paraId="7BAD0DF8"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38FDE206"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A partir de la 2da factura.</w:t>
      </w:r>
    </w:p>
    <w:p w14:paraId="7ED4CEA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sin descuento.</w:t>
      </w:r>
    </w:p>
    <w:p w14:paraId="4507D725"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58D58C91"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penúltimo día hábil de cada mes</w:t>
      </w:r>
    </w:p>
    <w:p w14:paraId="137E869F" w14:textId="77777777" w:rsidR="00FC02F9" w:rsidRPr="00FC02F9" w:rsidRDefault="00FC02F9" w:rsidP="00AB4D08">
      <w:pPr>
        <w:tabs>
          <w:tab w:val="left" w:pos="6315"/>
        </w:tabs>
        <w:spacing w:line="240" w:lineRule="auto"/>
        <w:ind w:left="567"/>
        <w:contextualSpacing/>
        <w:rPr>
          <w:rFonts w:ascii="Times New Roman" w:hAnsi="Times New Roman"/>
          <w:sz w:val="24"/>
          <w:szCs w:val="24"/>
        </w:rPr>
      </w:pPr>
    </w:p>
    <w:p w14:paraId="16CC5E43" w14:textId="4609D11C" w:rsidR="00FC02F9" w:rsidRPr="00FC02F9" w:rsidRDefault="00FC02F9" w:rsidP="00AB4D08">
      <w:pPr>
        <w:pStyle w:val="Prrafodelista"/>
        <w:numPr>
          <w:ilvl w:val="0"/>
          <w:numId w:val="6"/>
        </w:numPr>
        <w:spacing w:after="0" w:line="240" w:lineRule="auto"/>
        <w:jc w:val="both"/>
        <w:rPr>
          <w:rFonts w:ascii="Times New Roman" w:eastAsia="Arial" w:hAnsi="Times New Roman"/>
          <w:sz w:val="24"/>
          <w:szCs w:val="24"/>
        </w:rPr>
      </w:pPr>
      <w:r w:rsidRPr="00FC02F9">
        <w:rPr>
          <w:rFonts w:ascii="Times New Roman" w:eastAsia="Arial" w:hAnsi="Times New Roman"/>
          <w:sz w:val="24"/>
          <w:szCs w:val="24"/>
        </w:rPr>
        <w:t>Proyecto de valorización acuerdo 398</w:t>
      </w:r>
      <w:r w:rsidR="001034F8">
        <w:rPr>
          <w:rFonts w:ascii="Times New Roman" w:eastAsia="Arial" w:hAnsi="Times New Roman"/>
          <w:sz w:val="24"/>
          <w:szCs w:val="24"/>
        </w:rPr>
        <w:t>/09</w:t>
      </w:r>
    </w:p>
    <w:p w14:paraId="3948F9FF"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 </w:t>
      </w:r>
    </w:p>
    <w:p w14:paraId="3FAB7451" w14:textId="66A9D2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Plazo</w:t>
      </w:r>
      <w:r w:rsidR="00686D47">
        <w:rPr>
          <w:rFonts w:ascii="Times New Roman" w:eastAsia="Arial" w:hAnsi="Times New Roman"/>
          <w:sz w:val="24"/>
          <w:szCs w:val="24"/>
        </w:rPr>
        <w:t xml:space="preserve">: </w:t>
      </w:r>
      <w:r w:rsidRPr="00FC02F9">
        <w:rPr>
          <w:rFonts w:ascii="Times New Roman" w:eastAsia="Arial" w:hAnsi="Times New Roman"/>
          <w:sz w:val="24"/>
          <w:szCs w:val="24"/>
        </w:rPr>
        <w:t>Hasta 12 meses</w:t>
      </w:r>
    </w:p>
    <w:p w14:paraId="2F9A289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Valor cuota mínima: $43.400</w:t>
      </w:r>
    </w:p>
    <w:p w14:paraId="4814B2B3" w14:textId="77505B62"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Descuentos: 1ra factura con 3 fechas diferentes de vto.</w:t>
      </w:r>
    </w:p>
    <w:p w14:paraId="5D18688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1er vencimiento. Pago total descuento del 15%.</w:t>
      </w:r>
    </w:p>
    <w:p w14:paraId="0C6FB5CE"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2do vencimiento. Pago total descuento del 5%.</w:t>
      </w:r>
    </w:p>
    <w:p w14:paraId="349E456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3er vencimiento. Pago total sin descuento.</w:t>
      </w:r>
    </w:p>
    <w:p w14:paraId="36D84DCA"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232D1706"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A partir de la 2da factura.  Pago total.</w:t>
      </w:r>
    </w:p>
    <w:p w14:paraId="13D91673"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0A3F0861"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penúltimo día hábil de cada mes</w:t>
      </w:r>
    </w:p>
    <w:p w14:paraId="2F313978" w14:textId="77777777" w:rsidR="00FC02F9" w:rsidRPr="00FC02F9" w:rsidRDefault="00FC02F9" w:rsidP="00AB4D08">
      <w:pPr>
        <w:spacing w:line="240" w:lineRule="auto"/>
        <w:ind w:left="567"/>
        <w:contextualSpacing/>
        <w:jc w:val="both"/>
        <w:rPr>
          <w:rFonts w:ascii="Times New Roman" w:eastAsia="Arial" w:hAnsi="Times New Roman"/>
          <w:sz w:val="24"/>
          <w:szCs w:val="24"/>
        </w:rPr>
      </w:pPr>
    </w:p>
    <w:p w14:paraId="753F0F45" w14:textId="5E130B30" w:rsidR="00FC02F9" w:rsidRPr="00686D47" w:rsidRDefault="00FC02F9" w:rsidP="00AB4D08">
      <w:pPr>
        <w:pStyle w:val="Prrafodelista"/>
        <w:numPr>
          <w:ilvl w:val="0"/>
          <w:numId w:val="6"/>
        </w:numPr>
        <w:spacing w:line="240" w:lineRule="auto"/>
        <w:jc w:val="both"/>
        <w:rPr>
          <w:rFonts w:ascii="Times New Roman" w:eastAsia="Arial" w:hAnsi="Times New Roman"/>
          <w:sz w:val="24"/>
          <w:szCs w:val="24"/>
        </w:rPr>
      </w:pPr>
      <w:r w:rsidRPr="00686D47">
        <w:rPr>
          <w:rFonts w:ascii="Times New Roman" w:eastAsia="Arial" w:hAnsi="Times New Roman"/>
          <w:sz w:val="24"/>
          <w:szCs w:val="24"/>
        </w:rPr>
        <w:t>Proyecto de valorización acuerdo 523</w:t>
      </w:r>
      <w:r w:rsidR="007E26A9">
        <w:rPr>
          <w:rFonts w:ascii="Times New Roman" w:eastAsia="Arial" w:hAnsi="Times New Roman"/>
          <w:sz w:val="24"/>
          <w:szCs w:val="24"/>
        </w:rPr>
        <w:t>/13</w:t>
      </w:r>
    </w:p>
    <w:p w14:paraId="33A1F263" w14:textId="7EE93AF3" w:rsidR="00FC02F9" w:rsidRPr="00FC02F9" w:rsidRDefault="00686D47" w:rsidP="00AB4D08">
      <w:pPr>
        <w:spacing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 xml:space="preserve">Plazo: </w:t>
      </w:r>
      <w:r w:rsidR="00FC02F9" w:rsidRPr="00FC02F9">
        <w:rPr>
          <w:rFonts w:ascii="Times New Roman" w:eastAsia="Arial" w:hAnsi="Times New Roman"/>
          <w:sz w:val="24"/>
          <w:szCs w:val="24"/>
        </w:rPr>
        <w:t xml:space="preserve">Hasta tres vigencias (3 años) Vigencia fiscal. </w:t>
      </w:r>
    </w:p>
    <w:p w14:paraId="66DC9B6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El año fiscal inicia el 01 de enero y termina el 31 de diciembre de cada año.</w:t>
      </w:r>
    </w:p>
    <w:p w14:paraId="3841A2CB"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El plazo máximo para pago por cuotas podrá ser hasta de treinta (30) meses, teniendo en cuenta, para la primera vigencia, el plazo corresponde a seis (6) meses contados de julio a diciembre; la segunda y tercera vigencia tendrán una duración de hasta doce (12) meses cada una</w:t>
      </w:r>
    </w:p>
    <w:p w14:paraId="490F1552"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1ra factura con 3 fechas iguales de vencimiento.</w:t>
      </w:r>
    </w:p>
    <w:p w14:paraId="62B1C0E1"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1ra Opción Pago total vigencia actual sin intereses.</w:t>
      </w:r>
    </w:p>
    <w:p w14:paraId="58416CA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2da Opción Pago primera cuota vigencia actual</w:t>
      </w:r>
    </w:p>
    <w:p w14:paraId="60F11DC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lastRenderedPageBreak/>
        <w:t>3ra Opción. Pago total de la obligación sin descuento.</w:t>
      </w:r>
    </w:p>
    <w:p w14:paraId="1D0F309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A partir de la 2da factura.</w:t>
      </w:r>
    </w:p>
    <w:p w14:paraId="6AC88CB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sin descuento</w:t>
      </w:r>
    </w:p>
    <w:p w14:paraId="2ACA28BC"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2889843F"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penúltimo día hábil de cada mes</w:t>
      </w:r>
    </w:p>
    <w:p w14:paraId="3EA33775"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 </w:t>
      </w:r>
    </w:p>
    <w:p w14:paraId="2F67FF85" w14:textId="0ED220C6" w:rsidR="00FC02F9" w:rsidRPr="00FC02F9" w:rsidRDefault="00FC02F9" w:rsidP="00AB4D08">
      <w:pPr>
        <w:pStyle w:val="Prrafodelista"/>
        <w:numPr>
          <w:ilvl w:val="0"/>
          <w:numId w:val="6"/>
        </w:numPr>
        <w:spacing w:after="0" w:line="240" w:lineRule="auto"/>
        <w:jc w:val="both"/>
        <w:rPr>
          <w:rFonts w:ascii="Times New Roman" w:eastAsia="Arial" w:hAnsi="Times New Roman"/>
          <w:sz w:val="24"/>
          <w:szCs w:val="24"/>
        </w:rPr>
      </w:pPr>
      <w:r w:rsidRPr="00FC02F9">
        <w:rPr>
          <w:rFonts w:ascii="Times New Roman" w:eastAsia="Arial" w:hAnsi="Times New Roman"/>
          <w:sz w:val="24"/>
          <w:szCs w:val="24"/>
        </w:rPr>
        <w:t>Proye</w:t>
      </w:r>
      <w:r w:rsidR="007E26A9">
        <w:rPr>
          <w:rFonts w:ascii="Times New Roman" w:eastAsia="Arial" w:hAnsi="Times New Roman"/>
          <w:sz w:val="24"/>
          <w:szCs w:val="24"/>
        </w:rPr>
        <w:t>cto de valorización acuerdo 724/</w:t>
      </w:r>
      <w:r w:rsidRPr="00FC02F9">
        <w:rPr>
          <w:rFonts w:ascii="Times New Roman" w:eastAsia="Arial" w:hAnsi="Times New Roman"/>
          <w:sz w:val="24"/>
          <w:szCs w:val="24"/>
        </w:rPr>
        <w:t>18</w:t>
      </w:r>
    </w:p>
    <w:p w14:paraId="43C26191"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 </w:t>
      </w:r>
    </w:p>
    <w:p w14:paraId="1325BFC3"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Aprobado el 06 de diciembre de 2018, valorización por beneficio local, contribución que se asignó el 27 de diciembre de 2018, para la construcción del plan de 16 obras, distribuidas en tres ejes:</w:t>
      </w:r>
    </w:p>
    <w:p w14:paraId="2A3A454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1.    Eje Oriental El Cedro.</w:t>
      </w:r>
    </w:p>
    <w:p w14:paraId="1880796E"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    Eje Córdoba</w:t>
      </w:r>
    </w:p>
    <w:p w14:paraId="13BF3320"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3.    Eje Zona Industrial</w:t>
      </w:r>
    </w:p>
    <w:p w14:paraId="29191503" w14:textId="6D718469"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Plazo</w:t>
      </w:r>
      <w:r w:rsidR="00686D47">
        <w:rPr>
          <w:rFonts w:ascii="Times New Roman" w:eastAsia="Arial" w:hAnsi="Times New Roman"/>
          <w:sz w:val="24"/>
          <w:szCs w:val="24"/>
        </w:rPr>
        <w:t xml:space="preserve">: </w:t>
      </w:r>
      <w:r w:rsidRPr="00FC02F9">
        <w:rPr>
          <w:rFonts w:ascii="Times New Roman" w:eastAsia="Arial" w:hAnsi="Times New Roman"/>
          <w:sz w:val="24"/>
          <w:szCs w:val="24"/>
        </w:rPr>
        <w:t>Hasta 36 meses para predios Residenciales</w:t>
      </w:r>
    </w:p>
    <w:p w14:paraId="4247EB62"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Hasta 60 meses para predios No residenciales</w:t>
      </w:r>
    </w:p>
    <w:p w14:paraId="5C1DD987"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El número de cuotas que un predio tiene para pagar la contribución estará definido por dos (2) factores: Valor de la contribución y por el número de unidad de Valor Tributario – UVT vigente durante el año anterior de la asignación. Valor UVT 33.156</w:t>
      </w:r>
    </w:p>
    <w:p w14:paraId="002F0276"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Cuota mínima: Cinco por ciento (5%) de un salario mínimo mensual legal vigente (SMMLV) al momento de la asignación, para todos los predios cualquiera sea su destinación, la cual fue de $39.062</w:t>
      </w:r>
    </w:p>
    <w:p w14:paraId="267E2A5B"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Descuentos: 1er Vencimiento. Pago total con descuento del 10%.</w:t>
      </w:r>
    </w:p>
    <w:p w14:paraId="512BB575"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2do Vencimiento. Pago total sin descuento</w:t>
      </w:r>
    </w:p>
    <w:p w14:paraId="14DD2DE9"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primera cuota sin Intereses Financieros</w:t>
      </w:r>
    </w:p>
    <w:p w14:paraId="04370669"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A partir de la 2da factura.</w:t>
      </w:r>
    </w:p>
    <w:p w14:paraId="4DFD978D"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total sin descuento</w:t>
      </w:r>
    </w:p>
    <w:p w14:paraId="14ABD8E9" w14:textId="77777777"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Pago cuota + Intereses Financieros</w:t>
      </w:r>
    </w:p>
    <w:p w14:paraId="1FAD3092" w14:textId="301F3BFF" w:rsidR="00FC02F9" w:rsidRP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Fecha de vencimiento en el sistema valoricemos penúltimo día hábil de cada mes.</w:t>
      </w:r>
    </w:p>
    <w:p w14:paraId="522D2748" w14:textId="77777777" w:rsidR="00FC02F9" w:rsidRDefault="00FC02F9" w:rsidP="00AB4D08">
      <w:pPr>
        <w:spacing w:line="240" w:lineRule="auto"/>
        <w:ind w:left="567"/>
        <w:contextualSpacing/>
        <w:jc w:val="both"/>
        <w:rPr>
          <w:rFonts w:ascii="Times New Roman" w:eastAsia="Arial" w:hAnsi="Times New Roman"/>
          <w:sz w:val="24"/>
          <w:szCs w:val="24"/>
        </w:rPr>
      </w:pPr>
      <w:r w:rsidRPr="00FC02F9">
        <w:rPr>
          <w:rFonts w:ascii="Times New Roman" w:eastAsia="Arial" w:hAnsi="Times New Roman"/>
          <w:sz w:val="24"/>
          <w:szCs w:val="24"/>
        </w:rPr>
        <w:t xml:space="preserve"> </w:t>
      </w:r>
    </w:p>
    <w:p w14:paraId="7DD6BF77" w14:textId="77777777" w:rsidR="00CA477E" w:rsidRDefault="00CA477E" w:rsidP="00AB4D08">
      <w:pPr>
        <w:spacing w:line="240" w:lineRule="auto"/>
        <w:ind w:left="567"/>
        <w:contextualSpacing/>
        <w:jc w:val="both"/>
        <w:rPr>
          <w:rFonts w:ascii="Times New Roman" w:eastAsia="Arial" w:hAnsi="Times New Roman"/>
          <w:sz w:val="24"/>
          <w:szCs w:val="24"/>
        </w:rPr>
      </w:pPr>
    </w:p>
    <w:p w14:paraId="327C45EC" w14:textId="77777777" w:rsidR="00CA477E" w:rsidRDefault="00CA477E" w:rsidP="00AB4D08">
      <w:pPr>
        <w:spacing w:line="240" w:lineRule="auto"/>
        <w:ind w:left="567"/>
        <w:contextualSpacing/>
        <w:jc w:val="both"/>
        <w:rPr>
          <w:rFonts w:ascii="Times New Roman" w:eastAsia="Arial" w:hAnsi="Times New Roman"/>
          <w:sz w:val="24"/>
          <w:szCs w:val="24"/>
        </w:rPr>
      </w:pPr>
    </w:p>
    <w:p w14:paraId="649334CA" w14:textId="77777777" w:rsidR="00CA477E" w:rsidRDefault="00CA477E" w:rsidP="00AB4D08">
      <w:pPr>
        <w:spacing w:line="240" w:lineRule="auto"/>
        <w:ind w:left="567"/>
        <w:contextualSpacing/>
        <w:jc w:val="both"/>
        <w:rPr>
          <w:rFonts w:ascii="Times New Roman" w:eastAsia="Arial" w:hAnsi="Times New Roman"/>
          <w:sz w:val="24"/>
          <w:szCs w:val="24"/>
        </w:rPr>
      </w:pPr>
    </w:p>
    <w:p w14:paraId="7E5D2336" w14:textId="77777777" w:rsidR="00CA477E" w:rsidRDefault="00CA477E" w:rsidP="00AB4D08">
      <w:pPr>
        <w:spacing w:line="240" w:lineRule="auto"/>
        <w:ind w:left="567"/>
        <w:contextualSpacing/>
        <w:jc w:val="both"/>
        <w:rPr>
          <w:rFonts w:ascii="Times New Roman" w:eastAsia="Arial" w:hAnsi="Times New Roman"/>
          <w:sz w:val="24"/>
          <w:szCs w:val="24"/>
        </w:rPr>
      </w:pPr>
    </w:p>
    <w:p w14:paraId="561CDC28" w14:textId="77777777" w:rsidR="00CA477E" w:rsidRDefault="00CA477E" w:rsidP="00AB4D08">
      <w:pPr>
        <w:spacing w:line="240" w:lineRule="auto"/>
        <w:ind w:left="567"/>
        <w:contextualSpacing/>
        <w:jc w:val="both"/>
        <w:rPr>
          <w:rFonts w:ascii="Times New Roman" w:eastAsia="Arial" w:hAnsi="Times New Roman"/>
          <w:sz w:val="24"/>
          <w:szCs w:val="24"/>
        </w:rPr>
      </w:pPr>
    </w:p>
    <w:p w14:paraId="2C36C904" w14:textId="77777777" w:rsidR="00CA477E" w:rsidRDefault="00CA477E" w:rsidP="00AB4D08">
      <w:pPr>
        <w:spacing w:line="240" w:lineRule="auto"/>
        <w:ind w:left="567"/>
        <w:contextualSpacing/>
        <w:jc w:val="both"/>
        <w:rPr>
          <w:rFonts w:ascii="Times New Roman" w:eastAsia="Arial" w:hAnsi="Times New Roman"/>
          <w:sz w:val="24"/>
          <w:szCs w:val="24"/>
        </w:rPr>
      </w:pPr>
    </w:p>
    <w:p w14:paraId="4CCA7A2A" w14:textId="77777777" w:rsidR="00CA477E" w:rsidRDefault="00CA477E" w:rsidP="00AB4D08">
      <w:pPr>
        <w:spacing w:line="240" w:lineRule="auto"/>
        <w:ind w:left="567"/>
        <w:contextualSpacing/>
        <w:jc w:val="both"/>
        <w:rPr>
          <w:rFonts w:ascii="Times New Roman" w:eastAsia="Arial" w:hAnsi="Times New Roman"/>
          <w:sz w:val="24"/>
          <w:szCs w:val="24"/>
        </w:rPr>
      </w:pPr>
    </w:p>
    <w:p w14:paraId="0EBD83B0" w14:textId="77777777" w:rsidR="00CA477E" w:rsidRDefault="00CA477E" w:rsidP="00AB4D08">
      <w:pPr>
        <w:spacing w:line="240" w:lineRule="auto"/>
        <w:ind w:left="567"/>
        <w:contextualSpacing/>
        <w:jc w:val="both"/>
        <w:rPr>
          <w:rFonts w:ascii="Times New Roman" w:eastAsia="Arial" w:hAnsi="Times New Roman"/>
          <w:sz w:val="24"/>
          <w:szCs w:val="24"/>
        </w:rPr>
      </w:pPr>
    </w:p>
    <w:p w14:paraId="1771B608" w14:textId="77777777" w:rsidR="00CA477E" w:rsidRDefault="00CA477E" w:rsidP="00AB4D08">
      <w:pPr>
        <w:spacing w:line="240" w:lineRule="auto"/>
        <w:ind w:left="567"/>
        <w:contextualSpacing/>
        <w:jc w:val="both"/>
        <w:rPr>
          <w:rFonts w:ascii="Times New Roman" w:eastAsia="Arial" w:hAnsi="Times New Roman"/>
          <w:sz w:val="24"/>
          <w:szCs w:val="24"/>
        </w:rPr>
      </w:pPr>
    </w:p>
    <w:p w14:paraId="00610223" w14:textId="77777777" w:rsidR="00CA477E" w:rsidRDefault="00CA477E" w:rsidP="00AB4D08">
      <w:pPr>
        <w:spacing w:line="240" w:lineRule="auto"/>
        <w:ind w:left="567"/>
        <w:contextualSpacing/>
        <w:jc w:val="both"/>
        <w:rPr>
          <w:rFonts w:ascii="Times New Roman" w:eastAsia="Arial" w:hAnsi="Times New Roman"/>
          <w:sz w:val="24"/>
          <w:szCs w:val="24"/>
        </w:rPr>
      </w:pPr>
    </w:p>
    <w:p w14:paraId="249BB928" w14:textId="77777777" w:rsidR="00CA477E" w:rsidRDefault="00CA477E" w:rsidP="00AB4D08">
      <w:pPr>
        <w:spacing w:line="240" w:lineRule="auto"/>
        <w:ind w:left="567"/>
        <w:contextualSpacing/>
        <w:jc w:val="both"/>
        <w:rPr>
          <w:rFonts w:ascii="Times New Roman" w:eastAsia="Arial" w:hAnsi="Times New Roman"/>
          <w:sz w:val="24"/>
          <w:szCs w:val="24"/>
        </w:rPr>
      </w:pPr>
    </w:p>
    <w:p w14:paraId="051AEF1B" w14:textId="77777777" w:rsidR="00CA477E" w:rsidRDefault="00CA477E" w:rsidP="00AB4D08">
      <w:pPr>
        <w:spacing w:line="240" w:lineRule="auto"/>
        <w:ind w:left="567"/>
        <w:contextualSpacing/>
        <w:jc w:val="both"/>
        <w:rPr>
          <w:rFonts w:ascii="Times New Roman" w:eastAsia="Arial" w:hAnsi="Times New Roman"/>
          <w:sz w:val="24"/>
          <w:szCs w:val="24"/>
        </w:rPr>
      </w:pPr>
    </w:p>
    <w:p w14:paraId="755389D1" w14:textId="77777777" w:rsidR="00CA477E" w:rsidRDefault="00CA477E" w:rsidP="00AB4D08">
      <w:pPr>
        <w:spacing w:line="240" w:lineRule="auto"/>
        <w:ind w:left="567"/>
        <w:contextualSpacing/>
        <w:jc w:val="both"/>
        <w:rPr>
          <w:rFonts w:ascii="Times New Roman" w:eastAsia="Arial" w:hAnsi="Times New Roman"/>
          <w:sz w:val="24"/>
          <w:szCs w:val="24"/>
        </w:rPr>
      </w:pPr>
    </w:p>
    <w:p w14:paraId="20DAFACF" w14:textId="77777777" w:rsidR="00CA477E" w:rsidRPr="00FC02F9" w:rsidRDefault="00CA477E" w:rsidP="00AB4D08">
      <w:pPr>
        <w:spacing w:line="240" w:lineRule="auto"/>
        <w:ind w:left="567"/>
        <w:contextualSpacing/>
        <w:jc w:val="both"/>
        <w:rPr>
          <w:rFonts w:ascii="Times New Roman" w:eastAsia="Arial" w:hAnsi="Times New Roman"/>
          <w:sz w:val="24"/>
          <w:szCs w:val="24"/>
        </w:rPr>
      </w:pPr>
    </w:p>
    <w:p w14:paraId="7AF1A504" w14:textId="68DECE01" w:rsidR="00FC02F9" w:rsidRDefault="00FC02F9" w:rsidP="00AB4D08">
      <w:pPr>
        <w:pStyle w:val="Prrafodelista"/>
        <w:spacing w:after="0" w:line="240" w:lineRule="auto"/>
        <w:ind w:left="567"/>
        <w:jc w:val="both"/>
        <w:rPr>
          <w:rFonts w:ascii="Times New Roman" w:eastAsia="Arial" w:hAnsi="Times New Roman"/>
          <w:sz w:val="24"/>
          <w:szCs w:val="24"/>
        </w:rPr>
      </w:pPr>
      <w:r w:rsidRPr="00FC02F9">
        <w:rPr>
          <w:rFonts w:ascii="Times New Roman" w:eastAsia="Arial" w:hAnsi="Times New Roman"/>
          <w:sz w:val="24"/>
          <w:szCs w:val="24"/>
        </w:rPr>
        <w:lastRenderedPageBreak/>
        <w:t>En el análisis de los indicios de deterioro para las cuentas por cobrar, por concepto de contribuciones, se genera estimación de deterioro por valor de  $4.288.915.741</w:t>
      </w:r>
      <w:r>
        <w:rPr>
          <w:rFonts w:ascii="Times New Roman" w:eastAsia="Arial" w:hAnsi="Times New Roman"/>
          <w:sz w:val="24"/>
          <w:szCs w:val="24"/>
        </w:rPr>
        <w:t>,</w:t>
      </w:r>
      <w:r w:rsidRPr="00FC02F9">
        <w:rPr>
          <w:rFonts w:ascii="Times New Roman" w:eastAsia="Arial" w:hAnsi="Times New Roman"/>
          <w:sz w:val="24"/>
          <w:szCs w:val="24"/>
        </w:rPr>
        <w:t xml:space="preserve"> acumulado con corte a </w:t>
      </w:r>
      <w:r>
        <w:rPr>
          <w:rFonts w:ascii="Times New Roman" w:eastAsia="Arial" w:hAnsi="Times New Roman"/>
          <w:sz w:val="24"/>
          <w:szCs w:val="24"/>
        </w:rPr>
        <w:t xml:space="preserve">31 de </w:t>
      </w:r>
      <w:r w:rsidRPr="00FC02F9">
        <w:rPr>
          <w:rFonts w:ascii="Times New Roman" w:eastAsia="Arial" w:hAnsi="Times New Roman"/>
          <w:sz w:val="24"/>
          <w:szCs w:val="24"/>
        </w:rPr>
        <w:t>diciembre de 2019, así:</w:t>
      </w:r>
    </w:p>
    <w:p w14:paraId="21F2E29B" w14:textId="77777777" w:rsidR="00BD02E3" w:rsidRDefault="00BD02E3" w:rsidP="00AB4D08">
      <w:pPr>
        <w:pStyle w:val="Prrafodelista"/>
        <w:spacing w:after="0" w:line="240" w:lineRule="auto"/>
        <w:ind w:left="567"/>
        <w:jc w:val="both"/>
        <w:rPr>
          <w:rFonts w:ascii="Times New Roman" w:eastAsia="Arial" w:hAnsi="Times New Roman"/>
          <w:sz w:val="24"/>
          <w:szCs w:val="24"/>
        </w:rPr>
      </w:pPr>
    </w:p>
    <w:p w14:paraId="13509E38" w14:textId="3EF1B944" w:rsidR="00FC02F9" w:rsidRDefault="00BD02E3" w:rsidP="00AB4D08">
      <w:pPr>
        <w:pStyle w:val="Prrafodelista"/>
        <w:spacing w:after="0" w:line="240" w:lineRule="auto"/>
        <w:ind w:left="567"/>
        <w:jc w:val="both"/>
        <w:rPr>
          <w:rFonts w:ascii="Times New Roman" w:hAnsi="Times New Roman"/>
          <w:sz w:val="24"/>
          <w:szCs w:val="24"/>
        </w:rPr>
      </w:pPr>
      <w:r w:rsidRPr="00BD02E3">
        <w:rPr>
          <w:noProof/>
          <w:lang w:eastAsia="es-CO"/>
        </w:rPr>
        <w:drawing>
          <wp:inline distT="0" distB="0" distL="0" distR="0" wp14:anchorId="714676A0" wp14:editId="160A3DD5">
            <wp:extent cx="5791835" cy="26672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2667292"/>
                    </a:xfrm>
                    <a:prstGeom prst="rect">
                      <a:avLst/>
                    </a:prstGeom>
                    <a:noFill/>
                    <a:ln>
                      <a:noFill/>
                    </a:ln>
                  </pic:spPr>
                </pic:pic>
              </a:graphicData>
            </a:graphic>
          </wp:inline>
        </w:drawing>
      </w:r>
    </w:p>
    <w:p w14:paraId="363B6E4D" w14:textId="77777777" w:rsidR="00BD02E3" w:rsidRDefault="00BD02E3" w:rsidP="00AB4D08">
      <w:pPr>
        <w:pStyle w:val="Prrafodelista"/>
        <w:spacing w:after="0" w:line="240" w:lineRule="auto"/>
        <w:ind w:left="567"/>
        <w:jc w:val="both"/>
        <w:rPr>
          <w:rFonts w:ascii="Times New Roman" w:hAnsi="Times New Roman"/>
          <w:sz w:val="24"/>
          <w:szCs w:val="24"/>
        </w:rPr>
      </w:pPr>
    </w:p>
    <w:p w14:paraId="76A1209E" w14:textId="5AE5F021" w:rsidR="00FC02F9" w:rsidRPr="00FC02F9" w:rsidRDefault="00FC02F9" w:rsidP="00AB4D08">
      <w:pPr>
        <w:pStyle w:val="Prrafodelista"/>
        <w:spacing w:after="0" w:line="240" w:lineRule="auto"/>
        <w:ind w:left="567"/>
        <w:jc w:val="both"/>
        <w:rPr>
          <w:rFonts w:ascii="Times New Roman" w:hAnsi="Times New Roman"/>
          <w:sz w:val="24"/>
          <w:szCs w:val="24"/>
        </w:rPr>
      </w:pPr>
    </w:p>
    <w:p w14:paraId="33A2CA42" w14:textId="2E97D8F8" w:rsidR="00FC02F9" w:rsidRPr="005416A4" w:rsidRDefault="00FC02F9" w:rsidP="00AB4D08">
      <w:pPr>
        <w:pStyle w:val="Ttulo2"/>
        <w:numPr>
          <w:ilvl w:val="1"/>
          <w:numId w:val="25"/>
        </w:numPr>
        <w:spacing w:line="240" w:lineRule="auto"/>
        <w:ind w:left="567" w:hanging="567"/>
        <w:contextualSpacing/>
        <w:rPr>
          <w:rFonts w:cs="Times New Roman"/>
          <w:szCs w:val="24"/>
        </w:rPr>
      </w:pPr>
      <w:bookmarkStart w:id="36" w:name="_Toc32317251"/>
      <w:r>
        <w:rPr>
          <w:rFonts w:cs="Times New Roman"/>
          <w:szCs w:val="24"/>
        </w:rPr>
        <w:t>Otras transferencias</w:t>
      </w:r>
      <w:bookmarkEnd w:id="36"/>
    </w:p>
    <w:p w14:paraId="0283CB5A" w14:textId="77777777" w:rsidR="00D743C7" w:rsidRDefault="00D743C7" w:rsidP="00AB4D08">
      <w:pPr>
        <w:pStyle w:val="Prrafodelista"/>
        <w:spacing w:after="0" w:line="240" w:lineRule="auto"/>
        <w:ind w:left="0"/>
        <w:jc w:val="center"/>
        <w:rPr>
          <w:rFonts w:ascii="Times New Roman" w:hAnsi="Times New Roman"/>
          <w:sz w:val="24"/>
          <w:szCs w:val="24"/>
        </w:rPr>
      </w:pPr>
    </w:p>
    <w:tbl>
      <w:tblPr>
        <w:tblW w:w="8285" w:type="dxa"/>
        <w:tblInd w:w="820" w:type="dxa"/>
        <w:tblCellMar>
          <w:left w:w="70" w:type="dxa"/>
          <w:right w:w="70" w:type="dxa"/>
        </w:tblCellMar>
        <w:tblLook w:val="04A0" w:firstRow="1" w:lastRow="0" w:firstColumn="1" w:lastColumn="0" w:noHBand="0" w:noVBand="1"/>
      </w:tblPr>
      <w:tblGrid>
        <w:gridCol w:w="4140"/>
        <w:gridCol w:w="1580"/>
        <w:gridCol w:w="1580"/>
        <w:gridCol w:w="985"/>
      </w:tblGrid>
      <w:tr w:rsidR="00D743C7" w:rsidRPr="00D743C7" w14:paraId="39A8B780" w14:textId="77777777" w:rsidTr="00D743C7">
        <w:trPr>
          <w:trHeight w:val="255"/>
        </w:trPr>
        <w:tc>
          <w:tcPr>
            <w:tcW w:w="41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9AC08D" w14:textId="77777777" w:rsidR="00D743C7" w:rsidRPr="00D743C7" w:rsidRDefault="00D743C7" w:rsidP="00AB4D08">
            <w:pPr>
              <w:spacing w:after="0" w:line="240" w:lineRule="auto"/>
              <w:contextualSpacing/>
              <w:jc w:val="center"/>
              <w:rPr>
                <w:rFonts w:ascii="Times New Roman" w:eastAsia="Times New Roman" w:hAnsi="Times New Roman"/>
                <w:b/>
                <w:bCs/>
                <w:color w:val="000000"/>
                <w:sz w:val="20"/>
                <w:szCs w:val="20"/>
                <w:lang w:eastAsia="es-CO"/>
              </w:rPr>
            </w:pPr>
            <w:r w:rsidRPr="00D743C7">
              <w:rPr>
                <w:rFonts w:ascii="Times New Roman" w:eastAsia="Times New Roman" w:hAnsi="Times New Roman"/>
                <w:b/>
                <w:bCs/>
                <w:color w:val="000000"/>
                <w:sz w:val="20"/>
                <w:szCs w:val="20"/>
                <w:lang w:eastAsia="es-CO"/>
              </w:rPr>
              <w:t>Detalle</w:t>
            </w:r>
          </w:p>
        </w:tc>
        <w:tc>
          <w:tcPr>
            <w:tcW w:w="414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AD99EA9" w14:textId="77777777" w:rsidR="00D743C7" w:rsidRPr="00D743C7" w:rsidRDefault="00D743C7" w:rsidP="00AB4D08">
            <w:pPr>
              <w:spacing w:after="0" w:line="240" w:lineRule="auto"/>
              <w:contextualSpacing/>
              <w:jc w:val="center"/>
              <w:rPr>
                <w:rFonts w:ascii="Times New Roman" w:eastAsia="Times New Roman" w:hAnsi="Times New Roman"/>
                <w:b/>
                <w:bCs/>
                <w:color w:val="000000"/>
                <w:sz w:val="20"/>
                <w:szCs w:val="20"/>
                <w:lang w:eastAsia="es-CO"/>
              </w:rPr>
            </w:pPr>
            <w:r w:rsidRPr="00D743C7">
              <w:rPr>
                <w:rFonts w:ascii="Times New Roman" w:eastAsia="Times New Roman" w:hAnsi="Times New Roman"/>
                <w:b/>
                <w:bCs/>
                <w:color w:val="000000"/>
                <w:sz w:val="20"/>
                <w:szCs w:val="20"/>
                <w:lang w:eastAsia="es-CO"/>
              </w:rPr>
              <w:t>Saldos comparativos</w:t>
            </w:r>
          </w:p>
        </w:tc>
      </w:tr>
      <w:tr w:rsidR="00D743C7" w:rsidRPr="00D743C7" w14:paraId="414BA9A3" w14:textId="77777777" w:rsidTr="00D743C7">
        <w:trPr>
          <w:trHeight w:val="255"/>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189477F4" w14:textId="77777777" w:rsidR="00D743C7" w:rsidRPr="00D743C7" w:rsidRDefault="00D743C7" w:rsidP="00AB4D08">
            <w:pPr>
              <w:spacing w:after="0" w:line="240" w:lineRule="auto"/>
              <w:contextualSpacing/>
              <w:rPr>
                <w:rFonts w:ascii="Times New Roman" w:eastAsia="Times New Roman" w:hAnsi="Times New Roman"/>
                <w:b/>
                <w:bCs/>
                <w:color w:val="000000"/>
                <w:sz w:val="20"/>
                <w:szCs w:val="20"/>
                <w:lang w:eastAsia="es-CO"/>
              </w:rPr>
            </w:pPr>
          </w:p>
        </w:tc>
        <w:tc>
          <w:tcPr>
            <w:tcW w:w="1580" w:type="dxa"/>
            <w:tcBorders>
              <w:top w:val="nil"/>
              <w:left w:val="nil"/>
              <w:bottom w:val="single" w:sz="4" w:space="0" w:color="auto"/>
              <w:right w:val="single" w:sz="4" w:space="0" w:color="auto"/>
            </w:tcBorders>
            <w:shd w:val="clear" w:color="000000" w:fill="D9D9D9"/>
            <w:noWrap/>
            <w:vAlign w:val="center"/>
            <w:hideMark/>
          </w:tcPr>
          <w:p w14:paraId="12CA85F0" w14:textId="77777777" w:rsidR="00D743C7" w:rsidRPr="00D743C7" w:rsidRDefault="00D743C7" w:rsidP="00AB4D08">
            <w:pPr>
              <w:spacing w:after="0" w:line="240" w:lineRule="auto"/>
              <w:contextualSpacing/>
              <w:jc w:val="center"/>
              <w:rPr>
                <w:rFonts w:ascii="Times New Roman" w:eastAsia="Times New Roman" w:hAnsi="Times New Roman"/>
                <w:b/>
                <w:bCs/>
                <w:color w:val="000000"/>
                <w:sz w:val="20"/>
                <w:szCs w:val="20"/>
                <w:lang w:eastAsia="es-CO"/>
              </w:rPr>
            </w:pPr>
            <w:r w:rsidRPr="00D743C7">
              <w:rPr>
                <w:rFonts w:ascii="Times New Roman" w:eastAsia="Times New Roman" w:hAnsi="Times New Roman"/>
                <w:b/>
                <w:bCs/>
                <w:color w:val="000000"/>
                <w:sz w:val="20"/>
                <w:szCs w:val="20"/>
                <w:lang w:eastAsia="es-CO"/>
              </w:rPr>
              <w:t>2019</w:t>
            </w:r>
          </w:p>
        </w:tc>
        <w:tc>
          <w:tcPr>
            <w:tcW w:w="1580" w:type="dxa"/>
            <w:tcBorders>
              <w:top w:val="nil"/>
              <w:left w:val="nil"/>
              <w:bottom w:val="single" w:sz="4" w:space="0" w:color="auto"/>
              <w:right w:val="single" w:sz="4" w:space="0" w:color="auto"/>
            </w:tcBorders>
            <w:shd w:val="clear" w:color="000000" w:fill="D9D9D9"/>
            <w:noWrap/>
            <w:vAlign w:val="center"/>
            <w:hideMark/>
          </w:tcPr>
          <w:p w14:paraId="7E8107CC" w14:textId="77777777" w:rsidR="00D743C7" w:rsidRPr="00D743C7" w:rsidRDefault="00D743C7" w:rsidP="00AB4D08">
            <w:pPr>
              <w:spacing w:after="0" w:line="240" w:lineRule="auto"/>
              <w:contextualSpacing/>
              <w:jc w:val="center"/>
              <w:rPr>
                <w:rFonts w:ascii="Times New Roman" w:eastAsia="Times New Roman" w:hAnsi="Times New Roman"/>
                <w:b/>
                <w:bCs/>
                <w:color w:val="000000"/>
                <w:sz w:val="20"/>
                <w:szCs w:val="20"/>
                <w:lang w:eastAsia="es-CO"/>
              </w:rPr>
            </w:pPr>
            <w:r w:rsidRPr="00D743C7">
              <w:rPr>
                <w:rFonts w:ascii="Times New Roman" w:eastAsia="Times New Roman" w:hAnsi="Times New Roman"/>
                <w:b/>
                <w:bCs/>
                <w:color w:val="000000"/>
                <w:sz w:val="20"/>
                <w:szCs w:val="20"/>
                <w:lang w:eastAsia="es-CO"/>
              </w:rPr>
              <w:t>2018</w:t>
            </w:r>
          </w:p>
        </w:tc>
        <w:tc>
          <w:tcPr>
            <w:tcW w:w="985" w:type="dxa"/>
            <w:tcBorders>
              <w:top w:val="nil"/>
              <w:left w:val="nil"/>
              <w:bottom w:val="single" w:sz="4" w:space="0" w:color="auto"/>
              <w:right w:val="single" w:sz="4" w:space="0" w:color="auto"/>
            </w:tcBorders>
            <w:shd w:val="clear" w:color="000000" w:fill="D9D9D9"/>
            <w:noWrap/>
            <w:vAlign w:val="center"/>
            <w:hideMark/>
          </w:tcPr>
          <w:p w14:paraId="3715257B" w14:textId="52B4880D" w:rsidR="00D743C7" w:rsidRPr="00D743C7" w:rsidRDefault="00D743C7" w:rsidP="00AB4D08">
            <w:pPr>
              <w:spacing w:after="0" w:line="240" w:lineRule="auto"/>
              <w:contextualSpacing/>
              <w:jc w:val="center"/>
              <w:rPr>
                <w:rFonts w:ascii="Times New Roman" w:eastAsia="Times New Roman" w:hAnsi="Times New Roman"/>
                <w:b/>
                <w:bCs/>
                <w:color w:val="000000"/>
                <w:sz w:val="20"/>
                <w:szCs w:val="20"/>
                <w:lang w:eastAsia="es-CO"/>
              </w:rPr>
            </w:pPr>
            <w:r w:rsidRPr="00D743C7">
              <w:rPr>
                <w:rFonts w:ascii="Times New Roman" w:eastAsia="Times New Roman" w:hAnsi="Times New Roman"/>
                <w:b/>
                <w:bCs/>
                <w:color w:val="000000"/>
                <w:sz w:val="20"/>
                <w:szCs w:val="20"/>
                <w:lang w:eastAsia="es-CO"/>
              </w:rPr>
              <w:t>Variación</w:t>
            </w:r>
          </w:p>
        </w:tc>
      </w:tr>
      <w:tr w:rsidR="00D743C7" w:rsidRPr="00D743C7" w14:paraId="1719B5E6" w14:textId="77777777" w:rsidTr="00D743C7">
        <w:trPr>
          <w:trHeight w:val="255"/>
        </w:trPr>
        <w:tc>
          <w:tcPr>
            <w:tcW w:w="4140" w:type="dxa"/>
            <w:tcBorders>
              <w:top w:val="nil"/>
              <w:left w:val="single" w:sz="4" w:space="0" w:color="auto"/>
              <w:bottom w:val="single" w:sz="4" w:space="0" w:color="auto"/>
              <w:right w:val="nil"/>
            </w:tcBorders>
            <w:shd w:val="clear" w:color="auto" w:fill="auto"/>
            <w:noWrap/>
            <w:vAlign w:val="center"/>
            <w:hideMark/>
          </w:tcPr>
          <w:p w14:paraId="0EB7B6C6" w14:textId="0E188E3D" w:rsidR="00D743C7" w:rsidRPr="00D743C7" w:rsidRDefault="00D743C7" w:rsidP="00AB4D08">
            <w:pPr>
              <w:spacing w:after="0" w:line="240" w:lineRule="auto"/>
              <w:contextualSpacing/>
              <w:rPr>
                <w:rFonts w:ascii="Times New Roman" w:eastAsia="Times New Roman" w:hAnsi="Times New Roman"/>
                <w:color w:val="000000"/>
                <w:sz w:val="20"/>
                <w:szCs w:val="20"/>
                <w:lang w:eastAsia="es-CO"/>
              </w:rPr>
            </w:pPr>
            <w:r w:rsidRPr="00D743C7">
              <w:rPr>
                <w:rFonts w:ascii="Times New Roman" w:eastAsia="Times New Roman" w:hAnsi="Times New Roman"/>
                <w:color w:val="000000"/>
                <w:sz w:val="20"/>
                <w:szCs w:val="20"/>
                <w:lang w:eastAsia="es-CO"/>
              </w:rPr>
              <w:t>Otras transferencias - Sistema general de regalías</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8EB7444" w14:textId="77777777" w:rsidR="00D743C7" w:rsidRPr="00D743C7" w:rsidRDefault="00D743C7" w:rsidP="00AB4D08">
            <w:pPr>
              <w:spacing w:after="0" w:line="240" w:lineRule="auto"/>
              <w:contextualSpacing/>
              <w:rPr>
                <w:rFonts w:ascii="Times New Roman" w:eastAsia="Times New Roman" w:hAnsi="Times New Roman"/>
                <w:color w:val="000000"/>
                <w:sz w:val="20"/>
                <w:szCs w:val="20"/>
                <w:lang w:eastAsia="es-CO"/>
              </w:rPr>
            </w:pPr>
            <w:r w:rsidRPr="00D743C7">
              <w:rPr>
                <w:rFonts w:ascii="Times New Roman" w:eastAsia="Times New Roman" w:hAnsi="Times New Roman"/>
                <w:color w:val="000000"/>
                <w:sz w:val="20"/>
                <w:szCs w:val="20"/>
                <w:lang w:eastAsia="es-CO"/>
              </w:rPr>
              <w:t xml:space="preserve">      73.573.557.051 </w:t>
            </w:r>
          </w:p>
        </w:tc>
        <w:tc>
          <w:tcPr>
            <w:tcW w:w="1580" w:type="dxa"/>
            <w:tcBorders>
              <w:top w:val="nil"/>
              <w:left w:val="nil"/>
              <w:bottom w:val="single" w:sz="4" w:space="0" w:color="auto"/>
              <w:right w:val="single" w:sz="4" w:space="0" w:color="auto"/>
            </w:tcBorders>
            <w:shd w:val="clear" w:color="auto" w:fill="auto"/>
            <w:noWrap/>
            <w:vAlign w:val="center"/>
            <w:hideMark/>
          </w:tcPr>
          <w:p w14:paraId="3BD8203B" w14:textId="77777777" w:rsidR="00D743C7" w:rsidRPr="00D743C7" w:rsidRDefault="00D743C7" w:rsidP="00AB4D08">
            <w:pPr>
              <w:spacing w:after="0" w:line="240" w:lineRule="auto"/>
              <w:contextualSpacing/>
              <w:rPr>
                <w:rFonts w:ascii="Times New Roman" w:eastAsia="Times New Roman" w:hAnsi="Times New Roman"/>
                <w:color w:val="000000"/>
                <w:sz w:val="20"/>
                <w:szCs w:val="20"/>
                <w:lang w:eastAsia="es-CO"/>
              </w:rPr>
            </w:pPr>
            <w:r w:rsidRPr="00D743C7">
              <w:rPr>
                <w:rFonts w:ascii="Times New Roman" w:eastAsia="Times New Roman" w:hAnsi="Times New Roman"/>
                <w:color w:val="000000"/>
                <w:sz w:val="20"/>
                <w:szCs w:val="20"/>
                <w:lang w:eastAsia="es-CO"/>
              </w:rPr>
              <w:t xml:space="preserve">      87.903.641.341 </w:t>
            </w:r>
          </w:p>
        </w:tc>
        <w:tc>
          <w:tcPr>
            <w:tcW w:w="985" w:type="dxa"/>
            <w:tcBorders>
              <w:top w:val="nil"/>
              <w:left w:val="nil"/>
              <w:bottom w:val="single" w:sz="4" w:space="0" w:color="auto"/>
              <w:right w:val="single" w:sz="4" w:space="0" w:color="auto"/>
            </w:tcBorders>
            <w:shd w:val="clear" w:color="auto" w:fill="auto"/>
            <w:noWrap/>
            <w:vAlign w:val="bottom"/>
            <w:hideMark/>
          </w:tcPr>
          <w:p w14:paraId="6D5954DE" w14:textId="3C0AC437" w:rsidR="00D743C7" w:rsidRPr="00D743C7" w:rsidRDefault="00D743C7" w:rsidP="00AB4D08">
            <w:pPr>
              <w:spacing w:after="0" w:line="240" w:lineRule="auto"/>
              <w:contextualSpacing/>
              <w:jc w:val="right"/>
              <w:rPr>
                <w:rFonts w:ascii="Times New Roman" w:eastAsia="Times New Roman" w:hAnsi="Times New Roman"/>
                <w:color w:val="000000"/>
                <w:sz w:val="20"/>
                <w:szCs w:val="20"/>
                <w:lang w:eastAsia="es-CO"/>
              </w:rPr>
            </w:pPr>
            <w:r w:rsidRPr="00D743C7">
              <w:rPr>
                <w:rFonts w:ascii="Times New Roman" w:eastAsia="Times New Roman" w:hAnsi="Times New Roman"/>
                <w:color w:val="000000"/>
                <w:sz w:val="20"/>
                <w:szCs w:val="20"/>
                <w:lang w:eastAsia="es-CO"/>
              </w:rPr>
              <w:t>-1</w:t>
            </w:r>
            <w:r w:rsidR="00C347E6">
              <w:rPr>
                <w:rFonts w:ascii="Times New Roman" w:eastAsia="Times New Roman" w:hAnsi="Times New Roman"/>
                <w:color w:val="000000"/>
                <w:sz w:val="20"/>
                <w:szCs w:val="20"/>
                <w:lang w:eastAsia="es-CO"/>
              </w:rPr>
              <w:t>6</w:t>
            </w:r>
            <w:r w:rsidRPr="00D743C7">
              <w:rPr>
                <w:rFonts w:ascii="Times New Roman" w:eastAsia="Times New Roman" w:hAnsi="Times New Roman"/>
                <w:color w:val="000000"/>
                <w:sz w:val="20"/>
                <w:szCs w:val="20"/>
                <w:lang w:eastAsia="es-CO"/>
              </w:rPr>
              <w:t>,</w:t>
            </w:r>
            <w:r w:rsidR="00C347E6">
              <w:rPr>
                <w:rFonts w:ascii="Times New Roman" w:eastAsia="Times New Roman" w:hAnsi="Times New Roman"/>
                <w:color w:val="000000"/>
                <w:sz w:val="20"/>
                <w:szCs w:val="20"/>
                <w:lang w:eastAsia="es-CO"/>
              </w:rPr>
              <w:t>30</w:t>
            </w:r>
            <w:r w:rsidRPr="00D743C7">
              <w:rPr>
                <w:rFonts w:ascii="Times New Roman" w:eastAsia="Times New Roman" w:hAnsi="Times New Roman"/>
                <w:color w:val="000000"/>
                <w:sz w:val="20"/>
                <w:szCs w:val="20"/>
                <w:lang w:eastAsia="es-CO"/>
              </w:rPr>
              <w:t>%</w:t>
            </w:r>
          </w:p>
        </w:tc>
      </w:tr>
    </w:tbl>
    <w:p w14:paraId="517B54CF" w14:textId="77777777" w:rsidR="00860448" w:rsidRPr="005416A4" w:rsidRDefault="00860448" w:rsidP="00AB4D08">
      <w:pPr>
        <w:spacing w:after="0" w:line="240" w:lineRule="auto"/>
        <w:contextualSpacing/>
        <w:jc w:val="both"/>
        <w:rPr>
          <w:rFonts w:ascii="Times New Roman" w:hAnsi="Times New Roman"/>
          <w:sz w:val="24"/>
          <w:szCs w:val="24"/>
          <w:u w:val="single"/>
        </w:rPr>
      </w:pPr>
    </w:p>
    <w:p w14:paraId="48ACB804" w14:textId="77777777" w:rsidR="005416A4" w:rsidRPr="004C6315" w:rsidRDefault="005416A4" w:rsidP="00AB4D08">
      <w:pPr>
        <w:spacing w:after="0" w:line="240" w:lineRule="auto"/>
        <w:ind w:left="567"/>
        <w:contextualSpacing/>
        <w:jc w:val="both"/>
        <w:rPr>
          <w:rFonts w:ascii="Times New Roman" w:eastAsia="Arial" w:hAnsi="Times New Roman"/>
          <w:sz w:val="24"/>
          <w:szCs w:val="24"/>
        </w:rPr>
      </w:pPr>
      <w:r w:rsidRPr="004C6315">
        <w:rPr>
          <w:rFonts w:ascii="Times New Roman" w:eastAsia="Arial" w:hAnsi="Times New Roman"/>
          <w:sz w:val="24"/>
          <w:szCs w:val="24"/>
        </w:rPr>
        <w:t xml:space="preserve">Constituye el saldo de los recursos del Sistema General de Regalías por transferir al IDU, en calidad de ejecutor, asignados al Distrito Capital para la ejecución de los proyectos aprobados por el OCAD Región Centro Oriente. </w:t>
      </w:r>
    </w:p>
    <w:p w14:paraId="251C5FD3" w14:textId="77777777" w:rsidR="005416A4" w:rsidRDefault="005416A4" w:rsidP="00AB4D08">
      <w:pPr>
        <w:spacing w:after="0" w:line="240" w:lineRule="auto"/>
        <w:ind w:left="567"/>
        <w:contextualSpacing/>
        <w:jc w:val="both"/>
        <w:rPr>
          <w:rFonts w:ascii="Times New Roman" w:eastAsia="Arial" w:hAnsi="Times New Roman"/>
          <w:sz w:val="24"/>
          <w:szCs w:val="24"/>
          <w:highlight w:val="yellow"/>
        </w:rPr>
      </w:pPr>
    </w:p>
    <w:p w14:paraId="17695939"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3F9092F5"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2862A423"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6B3F921A"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00D4E2EA"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0211DB0A"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020CD2AC"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40FACCC3"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708E2FD9"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19CE84DB"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22CB8420"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74988CCC"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1B5E71C3" w14:textId="77777777" w:rsidR="00044FC1" w:rsidRDefault="00044FC1" w:rsidP="00AB4D08">
      <w:pPr>
        <w:spacing w:after="0" w:line="240" w:lineRule="auto"/>
        <w:ind w:left="567"/>
        <w:contextualSpacing/>
        <w:jc w:val="both"/>
        <w:rPr>
          <w:rFonts w:ascii="Times New Roman" w:eastAsia="Arial" w:hAnsi="Times New Roman"/>
          <w:sz w:val="24"/>
          <w:szCs w:val="24"/>
          <w:highlight w:val="yellow"/>
        </w:rPr>
      </w:pPr>
    </w:p>
    <w:p w14:paraId="4C94EA7B" w14:textId="77777777" w:rsidR="005416A4" w:rsidRDefault="005416A4" w:rsidP="00AB4D08">
      <w:pPr>
        <w:spacing w:after="0" w:line="240" w:lineRule="auto"/>
        <w:ind w:left="567"/>
        <w:contextualSpacing/>
        <w:jc w:val="both"/>
        <w:rPr>
          <w:rFonts w:ascii="Times New Roman" w:eastAsia="Arial" w:hAnsi="Times New Roman"/>
          <w:sz w:val="24"/>
          <w:szCs w:val="24"/>
        </w:rPr>
      </w:pPr>
      <w:r w:rsidRPr="00003A69">
        <w:rPr>
          <w:rFonts w:ascii="Times New Roman" w:eastAsia="Arial" w:hAnsi="Times New Roman"/>
          <w:sz w:val="24"/>
          <w:szCs w:val="24"/>
        </w:rPr>
        <w:lastRenderedPageBreak/>
        <w:t>La variación de esta partida representa la ejecución de recursos realizada durante la vigencia</w:t>
      </w:r>
      <w:r>
        <w:rPr>
          <w:rFonts w:ascii="Times New Roman" w:eastAsia="Arial" w:hAnsi="Times New Roman"/>
          <w:sz w:val="24"/>
          <w:szCs w:val="24"/>
        </w:rPr>
        <w:t xml:space="preserve"> para los siguientes proyectos:</w:t>
      </w:r>
    </w:p>
    <w:p w14:paraId="1EE79F58" w14:textId="77777777" w:rsidR="00333358" w:rsidRDefault="00333358" w:rsidP="00AB4D08">
      <w:pPr>
        <w:pStyle w:val="Prrafodelista"/>
        <w:spacing w:after="0" w:line="240" w:lineRule="auto"/>
        <w:jc w:val="both"/>
        <w:rPr>
          <w:rFonts w:ascii="Times New Roman" w:hAnsi="Times New Roman"/>
          <w:sz w:val="24"/>
          <w:szCs w:val="24"/>
          <w:u w:val="single"/>
        </w:rPr>
      </w:pPr>
    </w:p>
    <w:p w14:paraId="0CBB69CF" w14:textId="5EC0AD5C" w:rsidR="005416A4" w:rsidRDefault="005416A4" w:rsidP="00AB4D08">
      <w:pPr>
        <w:pStyle w:val="Prrafodelista"/>
        <w:spacing w:after="0" w:line="240" w:lineRule="auto"/>
        <w:jc w:val="both"/>
        <w:rPr>
          <w:rFonts w:ascii="Times New Roman" w:hAnsi="Times New Roman"/>
          <w:sz w:val="24"/>
          <w:szCs w:val="24"/>
          <w:u w:val="single"/>
        </w:rPr>
      </w:pPr>
      <w:r w:rsidRPr="006B58EE">
        <w:rPr>
          <w:noProof/>
          <w:lang w:eastAsia="es-CO"/>
        </w:rPr>
        <w:drawing>
          <wp:inline distT="0" distB="0" distL="0" distR="0" wp14:anchorId="20C79032" wp14:editId="22F3859D">
            <wp:extent cx="4420925" cy="28227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0889" cy="2822690"/>
                    </a:xfrm>
                    <a:prstGeom prst="rect">
                      <a:avLst/>
                    </a:prstGeom>
                    <a:noFill/>
                    <a:ln>
                      <a:noFill/>
                    </a:ln>
                  </pic:spPr>
                </pic:pic>
              </a:graphicData>
            </a:graphic>
          </wp:inline>
        </w:drawing>
      </w:r>
    </w:p>
    <w:p w14:paraId="73599B65" w14:textId="77777777" w:rsidR="005416A4" w:rsidRPr="00957C30" w:rsidRDefault="005416A4" w:rsidP="00AB4D08">
      <w:pPr>
        <w:pStyle w:val="Prrafodelista"/>
        <w:spacing w:after="0" w:line="240" w:lineRule="auto"/>
        <w:jc w:val="both"/>
        <w:rPr>
          <w:rFonts w:ascii="Times New Roman" w:hAnsi="Times New Roman"/>
          <w:sz w:val="24"/>
          <w:szCs w:val="24"/>
          <w:u w:val="single"/>
        </w:rPr>
      </w:pPr>
    </w:p>
    <w:p w14:paraId="3EC5D9FA" w14:textId="1A5E2DEC" w:rsidR="005416A4" w:rsidRPr="00957C30" w:rsidRDefault="005416A4" w:rsidP="00AB4D08">
      <w:pPr>
        <w:spacing w:after="0"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 xml:space="preserve">Durante el segundo semestre del 2019 esta cuenta por cobrar se incrementó debido a que  el OCAD Centro Oriente, mediante Acuerdo No. 092-2019 del 6 de septiembre de 2019; viabilizó, priorizó y aprobó el proyecto de los Estudios y Diseños para la conexión de la Alameda El Porvenir con Av. Terreros – </w:t>
      </w:r>
      <w:proofErr w:type="spellStart"/>
      <w:r w:rsidRPr="00957C30">
        <w:rPr>
          <w:rFonts w:ascii="Times New Roman" w:eastAsia="Arial" w:hAnsi="Times New Roman"/>
          <w:sz w:val="24"/>
          <w:szCs w:val="24"/>
        </w:rPr>
        <w:t>Bicipuente</w:t>
      </w:r>
      <w:proofErr w:type="spellEnd"/>
      <w:r w:rsidRPr="00957C30">
        <w:rPr>
          <w:rFonts w:ascii="Times New Roman" w:eastAsia="Arial" w:hAnsi="Times New Roman"/>
          <w:sz w:val="24"/>
          <w:szCs w:val="24"/>
        </w:rPr>
        <w:t xml:space="preserve"> sobre la Quebrada </w:t>
      </w:r>
      <w:proofErr w:type="spellStart"/>
      <w:r w:rsidRPr="00957C30">
        <w:rPr>
          <w:rFonts w:ascii="Times New Roman" w:eastAsia="Arial" w:hAnsi="Times New Roman"/>
          <w:sz w:val="24"/>
          <w:szCs w:val="24"/>
        </w:rPr>
        <w:t>Tibanica</w:t>
      </w:r>
      <w:proofErr w:type="spellEnd"/>
      <w:r w:rsidRPr="00957C30">
        <w:rPr>
          <w:rFonts w:ascii="Times New Roman" w:eastAsia="Arial" w:hAnsi="Times New Roman"/>
          <w:sz w:val="24"/>
          <w:szCs w:val="24"/>
        </w:rPr>
        <w:t xml:space="preserve"> (Bogotá- Soacha), por valor de $1.904.290.794, con cargo a los recursos del Fondo de Desarrollo Regional del Sistema General de Regalías y designó como entidad ejecutora al Instituto de Desarrollo Urbano IDU, tanto del proyecto como de su interventoría.</w:t>
      </w:r>
    </w:p>
    <w:p w14:paraId="47482DFA" w14:textId="77777777" w:rsidR="005416A4" w:rsidRPr="00957C30" w:rsidRDefault="005416A4" w:rsidP="00AB4D08">
      <w:pPr>
        <w:spacing w:after="0" w:line="240" w:lineRule="auto"/>
        <w:ind w:left="567"/>
        <w:contextualSpacing/>
        <w:jc w:val="both"/>
        <w:rPr>
          <w:rFonts w:ascii="Times New Roman" w:eastAsia="Arial" w:hAnsi="Times New Roman"/>
          <w:sz w:val="24"/>
          <w:szCs w:val="24"/>
        </w:rPr>
      </w:pPr>
    </w:p>
    <w:p w14:paraId="3718A7B6" w14:textId="77777777" w:rsidR="005416A4" w:rsidRPr="00957C30" w:rsidRDefault="005416A4" w:rsidP="00AB4D08">
      <w:pPr>
        <w:spacing w:after="0" w:line="240" w:lineRule="auto"/>
        <w:ind w:left="567"/>
        <w:contextualSpacing/>
        <w:jc w:val="both"/>
        <w:rPr>
          <w:sz w:val="24"/>
          <w:szCs w:val="24"/>
        </w:rPr>
      </w:pPr>
      <w:r w:rsidRPr="00957C30">
        <w:rPr>
          <w:rFonts w:ascii="Times New Roman" w:eastAsia="Arial" w:hAnsi="Times New Roman"/>
          <w:sz w:val="24"/>
          <w:szCs w:val="24"/>
        </w:rPr>
        <w:t>Si bien es cierto, estos recursos representan más del 50 % de las cuentas por cobrar por concepto de Ingresos no Tributarios, la recuperación de estos recursos no representan riesgo para la entidad, puesto que estos se encuentran en poder de la Dirección del Tesoro Nacional del Ministerio de Hacienda y Crédito Público y son desembolsados directamente a los contratistas para cancelar las obligaciones adquiridas por el IDU con ellos para la ejecución de estos proyectos, disminuyendo de esta manera la cuenta por cobrar.  Por lo anterior, no existen indicios de deterioro para esta cartera.</w:t>
      </w:r>
    </w:p>
    <w:p w14:paraId="273017CF" w14:textId="77777777" w:rsidR="005416A4" w:rsidRDefault="005416A4" w:rsidP="00AB4D08">
      <w:pPr>
        <w:pStyle w:val="Prrafodelista"/>
        <w:spacing w:after="0" w:line="240" w:lineRule="auto"/>
        <w:jc w:val="both"/>
        <w:rPr>
          <w:rFonts w:ascii="Times New Roman" w:hAnsi="Times New Roman"/>
          <w:sz w:val="24"/>
          <w:szCs w:val="24"/>
          <w:u w:val="single"/>
        </w:rPr>
      </w:pPr>
    </w:p>
    <w:p w14:paraId="17504CA0" w14:textId="38CE9712" w:rsidR="00206E2B" w:rsidRPr="005416A4" w:rsidRDefault="00FC02F9" w:rsidP="00AB4D08">
      <w:pPr>
        <w:pStyle w:val="Ttulo2"/>
        <w:numPr>
          <w:ilvl w:val="1"/>
          <w:numId w:val="25"/>
        </w:numPr>
        <w:spacing w:line="240" w:lineRule="auto"/>
        <w:ind w:left="567" w:hanging="567"/>
        <w:contextualSpacing/>
        <w:rPr>
          <w:rFonts w:cs="Times New Roman"/>
          <w:szCs w:val="24"/>
        </w:rPr>
      </w:pPr>
      <w:bookmarkStart w:id="37" w:name="_Toc32317252"/>
      <w:r>
        <w:rPr>
          <w:rFonts w:cs="Times New Roman"/>
          <w:szCs w:val="24"/>
        </w:rPr>
        <w:t>Deterioro contribuciones</w:t>
      </w:r>
      <w:bookmarkEnd w:id="37"/>
    </w:p>
    <w:p w14:paraId="7E9851FD" w14:textId="77777777" w:rsidR="00206E2B" w:rsidRPr="00957C30" w:rsidRDefault="00206E2B" w:rsidP="00AB4D08">
      <w:pPr>
        <w:spacing w:after="0" w:line="240" w:lineRule="auto"/>
        <w:ind w:left="720"/>
        <w:contextualSpacing/>
        <w:jc w:val="both"/>
        <w:rPr>
          <w:rFonts w:ascii="Times New Roman" w:hAnsi="Times New Roman"/>
          <w:sz w:val="24"/>
          <w:szCs w:val="24"/>
        </w:rPr>
      </w:pPr>
    </w:p>
    <w:p w14:paraId="3B778E17" w14:textId="77777777"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En la política establecida por el IDU, el cálculo del deterioro se puede aplicar de manera grupal sobre un conjunto de cuentas por cobrar, en razón a las condiciones similares, que se determinan por acuerdo de valorización, como su antigüedad, con respecto a la asignación inicial y su comportamiento histórico.</w:t>
      </w:r>
    </w:p>
    <w:p w14:paraId="7492E7F6" w14:textId="77777777" w:rsidR="00FC02F9" w:rsidRPr="00957C30" w:rsidRDefault="00FC02F9" w:rsidP="00AB4D08">
      <w:pPr>
        <w:spacing w:line="240" w:lineRule="auto"/>
        <w:ind w:left="567"/>
        <w:contextualSpacing/>
        <w:jc w:val="both"/>
        <w:rPr>
          <w:rFonts w:ascii="Times New Roman" w:eastAsia="Arial" w:hAnsi="Times New Roman"/>
          <w:sz w:val="24"/>
          <w:szCs w:val="24"/>
        </w:rPr>
      </w:pPr>
    </w:p>
    <w:p w14:paraId="42D9BFE1" w14:textId="77777777"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Se identificaron, los predios con un expediente de cobro coactivo en estado activo y con acuerdo de pago incumplido.</w:t>
      </w:r>
    </w:p>
    <w:p w14:paraId="22EFB610" w14:textId="113EFEDD"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lastRenderedPageBreak/>
        <w:t xml:space="preserve"> Para el corte de 2019, se calculó el porcentaje de pérdida histórica que se aplicó a todos los terceros que pertenecen a un grupo de cartera, diferenciado por acuerdo de valorización.</w:t>
      </w:r>
    </w:p>
    <w:p w14:paraId="612848D2" w14:textId="77777777" w:rsidR="00FC02F9" w:rsidRPr="00957C30" w:rsidRDefault="00FC02F9" w:rsidP="00AB4D08">
      <w:pPr>
        <w:spacing w:line="240" w:lineRule="auto"/>
        <w:contextualSpacing/>
        <w:jc w:val="both"/>
        <w:rPr>
          <w:rFonts w:ascii="Times New Roman" w:eastAsia="Arial" w:hAnsi="Times New Roman"/>
          <w:sz w:val="24"/>
          <w:szCs w:val="24"/>
        </w:rPr>
      </w:pPr>
      <w:r w:rsidRPr="00957C30">
        <w:rPr>
          <w:rFonts w:ascii="Times New Roman" w:eastAsia="Arial" w:hAnsi="Times New Roman"/>
          <w:sz w:val="24"/>
          <w:szCs w:val="24"/>
        </w:rPr>
        <w:t xml:space="preserve"> </w:t>
      </w:r>
    </w:p>
    <w:p w14:paraId="617E854A" w14:textId="7647F885"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La estimación de deterioro individual, en la cartera de valorización se aplicó para los terceros que individualmente suman más del 5% del valor total de un grupo de cartera, por acuerdo de valorización.  La tasa utilizada para el cálculo de la estimación del deterioro de la cartera a 31 de diciembre de 2019, fue la tasa de interés TES 6.58%.</w:t>
      </w:r>
    </w:p>
    <w:p w14:paraId="4DCC6264" w14:textId="77777777" w:rsidR="00FC02F9" w:rsidRPr="00957C30" w:rsidRDefault="00FC02F9" w:rsidP="00AB4D08">
      <w:pPr>
        <w:spacing w:line="240" w:lineRule="auto"/>
        <w:ind w:left="567"/>
        <w:contextualSpacing/>
        <w:jc w:val="both"/>
        <w:rPr>
          <w:rFonts w:ascii="Times New Roman" w:eastAsia="Arial" w:hAnsi="Times New Roman"/>
          <w:sz w:val="24"/>
          <w:szCs w:val="24"/>
        </w:rPr>
      </w:pPr>
    </w:p>
    <w:p w14:paraId="34E76F7E" w14:textId="77777777"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Para el cálculo del valor presente, se estiman 10 años, sustentados en lo establecido, en el artículo 818 del Estatuto Tributario Nacional que reza: “Art. 818. Interrupción y suspensión del término de prescripción”. Conforme a lo anterior, dentro del proceso ejecutivo de cobro coactivo, existen diferentes actuaciones procesales que se encuentran contempladas en el mencionado artículo, y que restablece el término de prescripción en 5 años más, por lo tanto, es factible que un proceso se pueda prolongar por 10 años o incluso más, sin que se llegue a dar la prescripción.</w:t>
      </w:r>
    </w:p>
    <w:p w14:paraId="2DAD1475" w14:textId="77777777" w:rsidR="00FC02F9" w:rsidRPr="00957C30" w:rsidRDefault="00FC02F9"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 xml:space="preserve"> </w:t>
      </w:r>
    </w:p>
    <w:p w14:paraId="12169756"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El saldo por contribuciones a diciembre 31 de 2019 asciende a $230.207.172.588, representando el 63,27% del total de las cuentas por cobrar, y corresponde al valor del saldo de capital sobre los valores asignados y totalmente ejecutoriados por concepto de contribución por valorización.</w:t>
      </w:r>
    </w:p>
    <w:p w14:paraId="07B87D7C"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 xml:space="preserve"> </w:t>
      </w:r>
    </w:p>
    <w:p w14:paraId="4BB2BD36"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La cartera por valorización actualmente se encuentra clasificada por número de Acuerdo, antigüedad y cuantía, siendo los sujetos pasivos de las obligaciones, los propietarios o poseedores de los predios que han sido cobijados con las asignaciones.</w:t>
      </w:r>
    </w:p>
    <w:p w14:paraId="23119F2E" w14:textId="77777777" w:rsid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 xml:space="preserve"> </w:t>
      </w:r>
    </w:p>
    <w:p w14:paraId="70E41B73" w14:textId="77777777" w:rsidR="002871E8" w:rsidRDefault="002871E8" w:rsidP="00AB4D08">
      <w:pPr>
        <w:spacing w:line="240" w:lineRule="auto"/>
        <w:ind w:left="567"/>
        <w:contextualSpacing/>
        <w:jc w:val="both"/>
        <w:rPr>
          <w:rFonts w:ascii="Times New Roman" w:eastAsia="Arial" w:hAnsi="Times New Roman"/>
          <w:sz w:val="24"/>
          <w:szCs w:val="24"/>
        </w:rPr>
      </w:pPr>
    </w:p>
    <w:p w14:paraId="79FE0595" w14:textId="77777777" w:rsidR="002871E8" w:rsidRDefault="002871E8" w:rsidP="00AB4D08">
      <w:pPr>
        <w:spacing w:line="240" w:lineRule="auto"/>
        <w:ind w:left="567"/>
        <w:contextualSpacing/>
        <w:jc w:val="both"/>
        <w:rPr>
          <w:rFonts w:ascii="Times New Roman" w:eastAsia="Arial" w:hAnsi="Times New Roman"/>
          <w:sz w:val="24"/>
          <w:szCs w:val="24"/>
        </w:rPr>
      </w:pPr>
    </w:p>
    <w:p w14:paraId="21291A3E" w14:textId="77777777" w:rsidR="002871E8" w:rsidRDefault="002871E8" w:rsidP="00AB4D08">
      <w:pPr>
        <w:spacing w:line="240" w:lineRule="auto"/>
        <w:ind w:left="567"/>
        <w:contextualSpacing/>
        <w:jc w:val="both"/>
        <w:rPr>
          <w:rFonts w:ascii="Times New Roman" w:eastAsia="Arial" w:hAnsi="Times New Roman"/>
          <w:sz w:val="24"/>
          <w:szCs w:val="24"/>
        </w:rPr>
      </w:pPr>
    </w:p>
    <w:p w14:paraId="40E092C4" w14:textId="77777777" w:rsidR="002871E8" w:rsidRDefault="002871E8" w:rsidP="00AB4D08">
      <w:pPr>
        <w:spacing w:line="240" w:lineRule="auto"/>
        <w:ind w:left="567"/>
        <w:contextualSpacing/>
        <w:jc w:val="both"/>
        <w:rPr>
          <w:rFonts w:ascii="Times New Roman" w:eastAsia="Arial" w:hAnsi="Times New Roman"/>
          <w:sz w:val="24"/>
          <w:szCs w:val="24"/>
        </w:rPr>
      </w:pPr>
    </w:p>
    <w:p w14:paraId="026B45AB" w14:textId="77777777" w:rsidR="002871E8" w:rsidRDefault="002871E8" w:rsidP="00AB4D08">
      <w:pPr>
        <w:spacing w:line="240" w:lineRule="auto"/>
        <w:ind w:left="567"/>
        <w:contextualSpacing/>
        <w:jc w:val="both"/>
        <w:rPr>
          <w:rFonts w:ascii="Times New Roman" w:eastAsia="Arial" w:hAnsi="Times New Roman"/>
          <w:sz w:val="24"/>
          <w:szCs w:val="24"/>
        </w:rPr>
      </w:pPr>
    </w:p>
    <w:p w14:paraId="3C60C9B0" w14:textId="77777777" w:rsidR="002871E8" w:rsidRDefault="002871E8" w:rsidP="00AB4D08">
      <w:pPr>
        <w:spacing w:line="240" w:lineRule="auto"/>
        <w:ind w:left="567"/>
        <w:contextualSpacing/>
        <w:jc w:val="both"/>
        <w:rPr>
          <w:rFonts w:ascii="Times New Roman" w:eastAsia="Arial" w:hAnsi="Times New Roman"/>
          <w:sz w:val="24"/>
          <w:szCs w:val="24"/>
        </w:rPr>
      </w:pPr>
    </w:p>
    <w:p w14:paraId="682630EA" w14:textId="77777777" w:rsidR="002871E8" w:rsidRDefault="002871E8" w:rsidP="00AB4D08">
      <w:pPr>
        <w:spacing w:line="240" w:lineRule="auto"/>
        <w:ind w:left="567"/>
        <w:contextualSpacing/>
        <w:jc w:val="both"/>
        <w:rPr>
          <w:rFonts w:ascii="Times New Roman" w:eastAsia="Arial" w:hAnsi="Times New Roman"/>
          <w:sz w:val="24"/>
          <w:szCs w:val="24"/>
        </w:rPr>
      </w:pPr>
    </w:p>
    <w:p w14:paraId="1C2F61E5" w14:textId="77777777" w:rsidR="002871E8" w:rsidRDefault="002871E8" w:rsidP="00AB4D08">
      <w:pPr>
        <w:spacing w:line="240" w:lineRule="auto"/>
        <w:ind w:left="567"/>
        <w:contextualSpacing/>
        <w:jc w:val="both"/>
        <w:rPr>
          <w:rFonts w:ascii="Times New Roman" w:eastAsia="Arial" w:hAnsi="Times New Roman"/>
          <w:sz w:val="24"/>
          <w:szCs w:val="24"/>
        </w:rPr>
      </w:pPr>
    </w:p>
    <w:p w14:paraId="60CB3C58" w14:textId="77777777" w:rsidR="002871E8" w:rsidRDefault="002871E8" w:rsidP="00AB4D08">
      <w:pPr>
        <w:spacing w:line="240" w:lineRule="auto"/>
        <w:ind w:left="567"/>
        <w:contextualSpacing/>
        <w:jc w:val="both"/>
        <w:rPr>
          <w:rFonts w:ascii="Times New Roman" w:eastAsia="Arial" w:hAnsi="Times New Roman"/>
          <w:sz w:val="24"/>
          <w:szCs w:val="24"/>
        </w:rPr>
      </w:pPr>
    </w:p>
    <w:p w14:paraId="6FD6F7F9" w14:textId="77777777" w:rsidR="002871E8" w:rsidRDefault="002871E8" w:rsidP="00AB4D08">
      <w:pPr>
        <w:spacing w:line="240" w:lineRule="auto"/>
        <w:ind w:left="567"/>
        <w:contextualSpacing/>
        <w:jc w:val="both"/>
        <w:rPr>
          <w:rFonts w:ascii="Times New Roman" w:eastAsia="Arial" w:hAnsi="Times New Roman"/>
          <w:sz w:val="24"/>
          <w:szCs w:val="24"/>
        </w:rPr>
      </w:pPr>
    </w:p>
    <w:p w14:paraId="24F3FCE7" w14:textId="77777777" w:rsidR="002871E8" w:rsidRDefault="002871E8" w:rsidP="00AB4D08">
      <w:pPr>
        <w:spacing w:line="240" w:lineRule="auto"/>
        <w:ind w:left="567"/>
        <w:contextualSpacing/>
        <w:jc w:val="both"/>
        <w:rPr>
          <w:rFonts w:ascii="Times New Roman" w:eastAsia="Arial" w:hAnsi="Times New Roman"/>
          <w:sz w:val="24"/>
          <w:szCs w:val="24"/>
        </w:rPr>
      </w:pPr>
    </w:p>
    <w:p w14:paraId="3F39DDB2" w14:textId="77777777" w:rsidR="002871E8" w:rsidRDefault="002871E8" w:rsidP="00AB4D08">
      <w:pPr>
        <w:spacing w:line="240" w:lineRule="auto"/>
        <w:ind w:left="567"/>
        <w:contextualSpacing/>
        <w:jc w:val="both"/>
        <w:rPr>
          <w:rFonts w:ascii="Times New Roman" w:eastAsia="Arial" w:hAnsi="Times New Roman"/>
          <w:sz w:val="24"/>
          <w:szCs w:val="24"/>
        </w:rPr>
      </w:pPr>
    </w:p>
    <w:p w14:paraId="29FABCD9" w14:textId="77777777" w:rsidR="002871E8" w:rsidRDefault="002871E8" w:rsidP="00AB4D08">
      <w:pPr>
        <w:spacing w:line="240" w:lineRule="auto"/>
        <w:ind w:left="567"/>
        <w:contextualSpacing/>
        <w:jc w:val="both"/>
        <w:rPr>
          <w:rFonts w:ascii="Times New Roman" w:eastAsia="Arial" w:hAnsi="Times New Roman"/>
          <w:sz w:val="24"/>
          <w:szCs w:val="24"/>
        </w:rPr>
      </w:pPr>
    </w:p>
    <w:p w14:paraId="132B99BE" w14:textId="77777777" w:rsidR="002871E8" w:rsidRDefault="002871E8" w:rsidP="00AB4D08">
      <w:pPr>
        <w:spacing w:line="240" w:lineRule="auto"/>
        <w:ind w:left="567"/>
        <w:contextualSpacing/>
        <w:jc w:val="both"/>
        <w:rPr>
          <w:rFonts w:ascii="Times New Roman" w:eastAsia="Arial" w:hAnsi="Times New Roman"/>
          <w:sz w:val="24"/>
          <w:szCs w:val="24"/>
        </w:rPr>
      </w:pPr>
    </w:p>
    <w:p w14:paraId="0AB5B763" w14:textId="77777777" w:rsidR="002871E8" w:rsidRDefault="002871E8" w:rsidP="00AB4D08">
      <w:pPr>
        <w:spacing w:line="240" w:lineRule="auto"/>
        <w:ind w:left="567"/>
        <w:contextualSpacing/>
        <w:jc w:val="both"/>
        <w:rPr>
          <w:rFonts w:ascii="Times New Roman" w:eastAsia="Arial" w:hAnsi="Times New Roman"/>
          <w:sz w:val="24"/>
          <w:szCs w:val="24"/>
        </w:rPr>
      </w:pPr>
    </w:p>
    <w:p w14:paraId="78490EA1" w14:textId="77777777" w:rsidR="002871E8" w:rsidRDefault="002871E8" w:rsidP="00AB4D08">
      <w:pPr>
        <w:spacing w:line="240" w:lineRule="auto"/>
        <w:ind w:left="567"/>
        <w:contextualSpacing/>
        <w:jc w:val="both"/>
        <w:rPr>
          <w:rFonts w:ascii="Times New Roman" w:eastAsia="Arial" w:hAnsi="Times New Roman"/>
          <w:sz w:val="24"/>
          <w:szCs w:val="24"/>
        </w:rPr>
      </w:pPr>
    </w:p>
    <w:p w14:paraId="25C32323" w14:textId="77777777" w:rsidR="002871E8" w:rsidRDefault="002871E8" w:rsidP="00AB4D08">
      <w:pPr>
        <w:spacing w:line="240" w:lineRule="auto"/>
        <w:ind w:left="567"/>
        <w:contextualSpacing/>
        <w:jc w:val="both"/>
        <w:rPr>
          <w:rFonts w:ascii="Times New Roman" w:eastAsia="Arial" w:hAnsi="Times New Roman"/>
          <w:sz w:val="24"/>
          <w:szCs w:val="24"/>
        </w:rPr>
      </w:pPr>
    </w:p>
    <w:p w14:paraId="685C6A24" w14:textId="77777777" w:rsidR="002871E8" w:rsidRPr="00957C30" w:rsidRDefault="002871E8" w:rsidP="00AB4D08">
      <w:pPr>
        <w:spacing w:line="240" w:lineRule="auto"/>
        <w:ind w:left="567"/>
        <w:contextualSpacing/>
        <w:jc w:val="both"/>
        <w:rPr>
          <w:rFonts w:ascii="Times New Roman" w:eastAsia="Arial" w:hAnsi="Times New Roman"/>
          <w:sz w:val="24"/>
          <w:szCs w:val="24"/>
        </w:rPr>
      </w:pPr>
    </w:p>
    <w:p w14:paraId="76146406" w14:textId="183BE35F"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lastRenderedPageBreak/>
        <w:t xml:space="preserve">La cartera de contribución por valorización tiene la siguiente composición, con base en el Acuerdo de creación: </w:t>
      </w:r>
    </w:p>
    <w:p w14:paraId="167A57F4" w14:textId="77777777" w:rsidR="00957C30" w:rsidRDefault="00957C30" w:rsidP="00AB4D08">
      <w:pPr>
        <w:spacing w:after="0" w:line="240" w:lineRule="auto"/>
        <w:ind w:left="720"/>
        <w:contextualSpacing/>
        <w:jc w:val="both"/>
        <w:rPr>
          <w:rFonts w:ascii="Times New Roman" w:hAnsi="Times New Roman"/>
          <w:sz w:val="24"/>
          <w:szCs w:val="24"/>
        </w:rPr>
      </w:pPr>
    </w:p>
    <w:tbl>
      <w:tblPr>
        <w:tblW w:w="8880" w:type="dxa"/>
        <w:tblCellMar>
          <w:left w:w="70" w:type="dxa"/>
          <w:right w:w="70" w:type="dxa"/>
        </w:tblCellMar>
        <w:tblLook w:val="04A0" w:firstRow="1" w:lastRow="0" w:firstColumn="1" w:lastColumn="0" w:noHBand="0" w:noVBand="1"/>
      </w:tblPr>
      <w:tblGrid>
        <w:gridCol w:w="4240"/>
        <w:gridCol w:w="1300"/>
        <w:gridCol w:w="520"/>
        <w:gridCol w:w="1240"/>
        <w:gridCol w:w="1580"/>
      </w:tblGrid>
      <w:tr w:rsidR="002871E8" w:rsidRPr="002871E8" w14:paraId="71990D21" w14:textId="77777777" w:rsidTr="002871E8">
        <w:trPr>
          <w:trHeight w:val="225"/>
        </w:trPr>
        <w:tc>
          <w:tcPr>
            <w:tcW w:w="4240" w:type="dxa"/>
            <w:tcBorders>
              <w:top w:val="single" w:sz="4" w:space="0" w:color="auto"/>
              <w:left w:val="single" w:sz="4" w:space="0" w:color="auto"/>
              <w:bottom w:val="single" w:sz="4" w:space="0" w:color="auto"/>
              <w:right w:val="nil"/>
            </w:tcBorders>
            <w:shd w:val="clear" w:color="000000" w:fill="D9D9D9"/>
            <w:noWrap/>
            <w:vAlign w:val="center"/>
            <w:hideMark/>
          </w:tcPr>
          <w:p w14:paraId="00E5854E"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NOMBRE</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37C227"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2019</w:t>
            </w:r>
          </w:p>
        </w:tc>
        <w:tc>
          <w:tcPr>
            <w:tcW w:w="520" w:type="dxa"/>
            <w:tcBorders>
              <w:top w:val="single" w:sz="4" w:space="0" w:color="auto"/>
              <w:left w:val="nil"/>
              <w:bottom w:val="single" w:sz="4" w:space="0" w:color="auto"/>
              <w:right w:val="nil"/>
            </w:tcBorders>
            <w:shd w:val="clear" w:color="000000" w:fill="D9D9D9"/>
            <w:noWrap/>
            <w:vAlign w:val="center"/>
            <w:hideMark/>
          </w:tcPr>
          <w:p w14:paraId="76200A36"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34C039"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2018</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70BF2FC8"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VARIACION</w:t>
            </w:r>
          </w:p>
        </w:tc>
      </w:tr>
      <w:tr w:rsidR="002871E8" w:rsidRPr="002871E8" w14:paraId="26453E61" w14:textId="77777777" w:rsidTr="002871E8">
        <w:trPr>
          <w:trHeight w:val="225"/>
        </w:trPr>
        <w:tc>
          <w:tcPr>
            <w:tcW w:w="4240" w:type="dxa"/>
            <w:tcBorders>
              <w:top w:val="nil"/>
              <w:left w:val="single" w:sz="4" w:space="0" w:color="auto"/>
              <w:bottom w:val="single" w:sz="4" w:space="0" w:color="auto"/>
              <w:right w:val="nil"/>
            </w:tcBorders>
            <w:shd w:val="clear" w:color="auto" w:fill="auto"/>
            <w:noWrap/>
            <w:vAlign w:val="center"/>
            <w:hideMark/>
          </w:tcPr>
          <w:p w14:paraId="1799A666"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IDU AC.724/18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C9150D2"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212.308.585.993</w:t>
            </w:r>
          </w:p>
        </w:tc>
        <w:tc>
          <w:tcPr>
            <w:tcW w:w="520" w:type="dxa"/>
            <w:tcBorders>
              <w:top w:val="nil"/>
              <w:left w:val="nil"/>
              <w:bottom w:val="single" w:sz="4" w:space="0" w:color="auto"/>
              <w:right w:val="nil"/>
            </w:tcBorders>
            <w:shd w:val="clear" w:color="000000" w:fill="FFFFFF"/>
            <w:noWrap/>
            <w:vAlign w:val="center"/>
            <w:hideMark/>
          </w:tcPr>
          <w:p w14:paraId="6DD68A36"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A81389F"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580" w:type="dxa"/>
            <w:tcBorders>
              <w:top w:val="nil"/>
              <w:left w:val="nil"/>
              <w:bottom w:val="single" w:sz="4" w:space="0" w:color="auto"/>
              <w:right w:val="single" w:sz="4" w:space="0" w:color="auto"/>
            </w:tcBorders>
            <w:shd w:val="clear" w:color="auto" w:fill="auto"/>
            <w:noWrap/>
            <w:vAlign w:val="center"/>
            <w:hideMark/>
          </w:tcPr>
          <w:p w14:paraId="2A66011B"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212.308.585.993</w:t>
            </w:r>
          </w:p>
        </w:tc>
      </w:tr>
      <w:tr w:rsidR="002871E8" w:rsidRPr="002871E8" w14:paraId="1DA30BB2" w14:textId="77777777" w:rsidTr="002871E8">
        <w:trPr>
          <w:trHeight w:val="225"/>
        </w:trPr>
        <w:tc>
          <w:tcPr>
            <w:tcW w:w="4240" w:type="dxa"/>
            <w:tcBorders>
              <w:top w:val="nil"/>
              <w:left w:val="single" w:sz="4" w:space="0" w:color="auto"/>
              <w:bottom w:val="single" w:sz="4" w:space="0" w:color="auto"/>
              <w:right w:val="nil"/>
            </w:tcBorders>
            <w:shd w:val="clear" w:color="000000" w:fill="D9D9D9"/>
            <w:noWrap/>
            <w:vAlign w:val="center"/>
            <w:hideMark/>
          </w:tcPr>
          <w:p w14:paraId="4976D359"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 AC.724/2018</w:t>
            </w:r>
          </w:p>
        </w:tc>
        <w:tc>
          <w:tcPr>
            <w:tcW w:w="1300" w:type="dxa"/>
            <w:tcBorders>
              <w:top w:val="nil"/>
              <w:left w:val="single" w:sz="4" w:space="0" w:color="auto"/>
              <w:bottom w:val="single" w:sz="4" w:space="0" w:color="auto"/>
              <w:right w:val="single" w:sz="4" w:space="0" w:color="auto"/>
            </w:tcBorders>
            <w:shd w:val="clear" w:color="000000" w:fill="D9D9D9"/>
            <w:noWrap/>
            <w:vAlign w:val="center"/>
            <w:hideMark/>
          </w:tcPr>
          <w:p w14:paraId="6E96DB70"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212.308.585.993</w:t>
            </w:r>
          </w:p>
        </w:tc>
        <w:tc>
          <w:tcPr>
            <w:tcW w:w="520" w:type="dxa"/>
            <w:tcBorders>
              <w:top w:val="nil"/>
              <w:left w:val="nil"/>
              <w:bottom w:val="single" w:sz="4" w:space="0" w:color="auto"/>
              <w:right w:val="nil"/>
            </w:tcBorders>
            <w:shd w:val="clear" w:color="000000" w:fill="D9D9D9"/>
            <w:noWrap/>
            <w:vAlign w:val="center"/>
            <w:hideMark/>
          </w:tcPr>
          <w:p w14:paraId="2C6D5D49"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92</w:t>
            </w:r>
          </w:p>
        </w:tc>
        <w:tc>
          <w:tcPr>
            <w:tcW w:w="1240" w:type="dxa"/>
            <w:tcBorders>
              <w:top w:val="nil"/>
              <w:left w:val="single" w:sz="4" w:space="0" w:color="auto"/>
              <w:bottom w:val="single" w:sz="4" w:space="0" w:color="auto"/>
              <w:right w:val="single" w:sz="4" w:space="0" w:color="auto"/>
            </w:tcBorders>
            <w:shd w:val="clear" w:color="000000" w:fill="D9D9D9"/>
            <w:noWrap/>
            <w:vAlign w:val="center"/>
            <w:hideMark/>
          </w:tcPr>
          <w:p w14:paraId="7AA08E43"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0</w:t>
            </w:r>
          </w:p>
        </w:tc>
        <w:tc>
          <w:tcPr>
            <w:tcW w:w="1580" w:type="dxa"/>
            <w:tcBorders>
              <w:top w:val="nil"/>
              <w:left w:val="nil"/>
              <w:bottom w:val="single" w:sz="4" w:space="0" w:color="auto"/>
              <w:right w:val="single" w:sz="4" w:space="0" w:color="auto"/>
            </w:tcBorders>
            <w:shd w:val="clear" w:color="000000" w:fill="D9D9D9"/>
            <w:noWrap/>
            <w:vAlign w:val="center"/>
            <w:hideMark/>
          </w:tcPr>
          <w:p w14:paraId="7C7E8AE2"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212.308.585.993</w:t>
            </w:r>
          </w:p>
        </w:tc>
      </w:tr>
      <w:tr w:rsidR="002871E8" w:rsidRPr="002871E8" w14:paraId="2E3BCA40" w14:textId="77777777" w:rsidTr="002871E8">
        <w:trPr>
          <w:trHeight w:val="225"/>
        </w:trPr>
        <w:tc>
          <w:tcPr>
            <w:tcW w:w="4240" w:type="dxa"/>
            <w:tcBorders>
              <w:top w:val="nil"/>
              <w:left w:val="single" w:sz="4" w:space="0" w:color="auto"/>
              <w:bottom w:val="nil"/>
              <w:right w:val="nil"/>
            </w:tcBorders>
            <w:shd w:val="clear" w:color="000000" w:fill="FFFFFF"/>
            <w:noWrap/>
            <w:vAlign w:val="center"/>
            <w:hideMark/>
          </w:tcPr>
          <w:p w14:paraId="13046E6E"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c>
          <w:tcPr>
            <w:tcW w:w="1300" w:type="dxa"/>
            <w:tcBorders>
              <w:top w:val="nil"/>
              <w:left w:val="single" w:sz="4" w:space="0" w:color="auto"/>
              <w:bottom w:val="nil"/>
              <w:right w:val="single" w:sz="4" w:space="0" w:color="auto"/>
            </w:tcBorders>
            <w:shd w:val="clear" w:color="000000" w:fill="FFFFFF"/>
            <w:noWrap/>
            <w:vAlign w:val="center"/>
            <w:hideMark/>
          </w:tcPr>
          <w:p w14:paraId="2C0D1F5E"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c>
          <w:tcPr>
            <w:tcW w:w="520" w:type="dxa"/>
            <w:tcBorders>
              <w:top w:val="nil"/>
              <w:left w:val="nil"/>
              <w:bottom w:val="nil"/>
              <w:right w:val="nil"/>
            </w:tcBorders>
            <w:shd w:val="clear" w:color="000000" w:fill="FFFFFF"/>
            <w:noWrap/>
            <w:vAlign w:val="center"/>
            <w:hideMark/>
          </w:tcPr>
          <w:p w14:paraId="0E7935D7"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c>
          <w:tcPr>
            <w:tcW w:w="1240" w:type="dxa"/>
            <w:tcBorders>
              <w:top w:val="nil"/>
              <w:left w:val="single" w:sz="4" w:space="0" w:color="auto"/>
              <w:bottom w:val="nil"/>
              <w:right w:val="single" w:sz="4" w:space="0" w:color="auto"/>
            </w:tcBorders>
            <w:shd w:val="clear" w:color="000000" w:fill="FFFFFF"/>
            <w:noWrap/>
            <w:vAlign w:val="center"/>
            <w:hideMark/>
          </w:tcPr>
          <w:p w14:paraId="5B1320AB"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c>
          <w:tcPr>
            <w:tcW w:w="1580" w:type="dxa"/>
            <w:tcBorders>
              <w:top w:val="nil"/>
              <w:left w:val="nil"/>
              <w:bottom w:val="nil"/>
              <w:right w:val="single" w:sz="4" w:space="0" w:color="auto"/>
            </w:tcBorders>
            <w:shd w:val="clear" w:color="000000" w:fill="FFFFFF"/>
            <w:noWrap/>
            <w:vAlign w:val="center"/>
            <w:hideMark/>
          </w:tcPr>
          <w:p w14:paraId="07D9165E"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 </w:t>
            </w:r>
          </w:p>
        </w:tc>
      </w:tr>
      <w:tr w:rsidR="002871E8" w:rsidRPr="002871E8" w14:paraId="4BD78C04"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46CAB245"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xml:space="preserve">CARTERA IDU AC.523/13 </w:t>
            </w:r>
          </w:p>
        </w:tc>
        <w:tc>
          <w:tcPr>
            <w:tcW w:w="1300" w:type="dxa"/>
            <w:tcBorders>
              <w:top w:val="nil"/>
              <w:left w:val="single" w:sz="4" w:space="0" w:color="auto"/>
              <w:bottom w:val="nil"/>
              <w:right w:val="single" w:sz="4" w:space="0" w:color="auto"/>
            </w:tcBorders>
            <w:shd w:val="clear" w:color="auto" w:fill="auto"/>
            <w:noWrap/>
            <w:vAlign w:val="center"/>
            <w:hideMark/>
          </w:tcPr>
          <w:p w14:paraId="6925E3AB"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11.670.623.042</w:t>
            </w:r>
          </w:p>
        </w:tc>
        <w:tc>
          <w:tcPr>
            <w:tcW w:w="520" w:type="dxa"/>
            <w:tcBorders>
              <w:top w:val="nil"/>
              <w:left w:val="nil"/>
              <w:bottom w:val="nil"/>
              <w:right w:val="nil"/>
            </w:tcBorders>
            <w:shd w:val="clear" w:color="auto" w:fill="auto"/>
            <w:noWrap/>
            <w:vAlign w:val="center"/>
            <w:hideMark/>
          </w:tcPr>
          <w:p w14:paraId="6D9C18D2"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18711A3E"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14.092.297.762</w:t>
            </w:r>
          </w:p>
        </w:tc>
        <w:tc>
          <w:tcPr>
            <w:tcW w:w="1580" w:type="dxa"/>
            <w:tcBorders>
              <w:top w:val="nil"/>
              <w:left w:val="nil"/>
              <w:bottom w:val="nil"/>
              <w:right w:val="single" w:sz="4" w:space="0" w:color="auto"/>
            </w:tcBorders>
            <w:shd w:val="clear" w:color="auto" w:fill="auto"/>
            <w:noWrap/>
            <w:vAlign w:val="center"/>
            <w:hideMark/>
          </w:tcPr>
          <w:p w14:paraId="46086A01"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-2.421.674.720</w:t>
            </w:r>
          </w:p>
        </w:tc>
      </w:tr>
      <w:tr w:rsidR="002871E8" w:rsidRPr="002871E8" w14:paraId="3E4B538F"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2723659F"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IDRD AC.523/13</w:t>
            </w:r>
          </w:p>
        </w:tc>
        <w:tc>
          <w:tcPr>
            <w:tcW w:w="1300" w:type="dxa"/>
            <w:tcBorders>
              <w:top w:val="nil"/>
              <w:left w:val="single" w:sz="4" w:space="0" w:color="auto"/>
              <w:bottom w:val="nil"/>
              <w:right w:val="single" w:sz="4" w:space="0" w:color="auto"/>
            </w:tcBorders>
            <w:shd w:val="clear" w:color="auto" w:fill="auto"/>
            <w:noWrap/>
            <w:vAlign w:val="center"/>
            <w:hideMark/>
          </w:tcPr>
          <w:p w14:paraId="13FE5B62"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31.016.513</w:t>
            </w:r>
          </w:p>
        </w:tc>
        <w:tc>
          <w:tcPr>
            <w:tcW w:w="520" w:type="dxa"/>
            <w:tcBorders>
              <w:top w:val="nil"/>
              <w:left w:val="nil"/>
              <w:bottom w:val="nil"/>
              <w:right w:val="nil"/>
            </w:tcBorders>
            <w:shd w:val="clear" w:color="auto" w:fill="auto"/>
            <w:noWrap/>
            <w:vAlign w:val="center"/>
            <w:hideMark/>
          </w:tcPr>
          <w:p w14:paraId="2004712E"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6576BC7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40.553.164</w:t>
            </w:r>
          </w:p>
        </w:tc>
        <w:tc>
          <w:tcPr>
            <w:tcW w:w="1580" w:type="dxa"/>
            <w:tcBorders>
              <w:top w:val="nil"/>
              <w:left w:val="nil"/>
              <w:bottom w:val="nil"/>
              <w:right w:val="single" w:sz="4" w:space="0" w:color="auto"/>
            </w:tcBorders>
            <w:shd w:val="clear" w:color="auto" w:fill="auto"/>
            <w:noWrap/>
            <w:vAlign w:val="center"/>
            <w:hideMark/>
          </w:tcPr>
          <w:p w14:paraId="1729EBE4"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-9.536.651</w:t>
            </w:r>
          </w:p>
        </w:tc>
      </w:tr>
      <w:tr w:rsidR="002871E8" w:rsidRPr="002871E8" w14:paraId="24735D09" w14:textId="77777777" w:rsidTr="002871E8">
        <w:trPr>
          <w:trHeight w:val="225"/>
        </w:trPr>
        <w:tc>
          <w:tcPr>
            <w:tcW w:w="4240" w:type="dxa"/>
            <w:tcBorders>
              <w:top w:val="single" w:sz="4" w:space="0" w:color="auto"/>
              <w:left w:val="single" w:sz="4" w:space="0" w:color="auto"/>
              <w:bottom w:val="single" w:sz="4" w:space="0" w:color="auto"/>
              <w:right w:val="nil"/>
            </w:tcBorders>
            <w:shd w:val="clear" w:color="000000" w:fill="D9D9D9"/>
            <w:noWrap/>
            <w:vAlign w:val="center"/>
            <w:hideMark/>
          </w:tcPr>
          <w:p w14:paraId="6AD16499"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 AC.523/2013</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0D1EA4"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11.701.639.555</w:t>
            </w:r>
          </w:p>
        </w:tc>
        <w:tc>
          <w:tcPr>
            <w:tcW w:w="520" w:type="dxa"/>
            <w:tcBorders>
              <w:top w:val="single" w:sz="4" w:space="0" w:color="auto"/>
              <w:left w:val="nil"/>
              <w:bottom w:val="single" w:sz="4" w:space="0" w:color="auto"/>
              <w:right w:val="nil"/>
            </w:tcBorders>
            <w:shd w:val="clear" w:color="000000" w:fill="D9D9D9"/>
            <w:noWrap/>
            <w:vAlign w:val="center"/>
            <w:hideMark/>
          </w:tcPr>
          <w:p w14:paraId="585D6A7E"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5</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CB59CA"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14.132.850.926</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1E405115"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-2.431.211.371</w:t>
            </w:r>
          </w:p>
        </w:tc>
      </w:tr>
      <w:tr w:rsidR="002871E8" w:rsidRPr="002871E8" w14:paraId="762BD059"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78C4E3E7"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300" w:type="dxa"/>
            <w:tcBorders>
              <w:top w:val="nil"/>
              <w:left w:val="single" w:sz="4" w:space="0" w:color="auto"/>
              <w:bottom w:val="nil"/>
              <w:right w:val="single" w:sz="4" w:space="0" w:color="auto"/>
            </w:tcBorders>
            <w:shd w:val="clear" w:color="auto" w:fill="auto"/>
            <w:noWrap/>
            <w:vAlign w:val="center"/>
            <w:hideMark/>
          </w:tcPr>
          <w:p w14:paraId="3468199E"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520" w:type="dxa"/>
            <w:tcBorders>
              <w:top w:val="nil"/>
              <w:left w:val="nil"/>
              <w:bottom w:val="nil"/>
              <w:right w:val="nil"/>
            </w:tcBorders>
            <w:shd w:val="clear" w:color="auto" w:fill="auto"/>
            <w:noWrap/>
            <w:vAlign w:val="center"/>
            <w:hideMark/>
          </w:tcPr>
          <w:p w14:paraId="18AB9040"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08C9B687"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580" w:type="dxa"/>
            <w:tcBorders>
              <w:top w:val="nil"/>
              <w:left w:val="nil"/>
              <w:bottom w:val="nil"/>
              <w:right w:val="single" w:sz="4" w:space="0" w:color="auto"/>
            </w:tcBorders>
            <w:shd w:val="clear" w:color="auto" w:fill="auto"/>
            <w:noWrap/>
            <w:vAlign w:val="center"/>
            <w:hideMark/>
          </w:tcPr>
          <w:p w14:paraId="3D6C1343"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r>
      <w:tr w:rsidR="002871E8" w:rsidRPr="002871E8" w14:paraId="354DE1C4"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09E4CC77"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CAPITAL IDU AC 180/05 FASE I</w:t>
            </w:r>
          </w:p>
        </w:tc>
        <w:tc>
          <w:tcPr>
            <w:tcW w:w="1300" w:type="dxa"/>
            <w:tcBorders>
              <w:top w:val="nil"/>
              <w:left w:val="single" w:sz="4" w:space="0" w:color="auto"/>
              <w:bottom w:val="nil"/>
              <w:right w:val="single" w:sz="4" w:space="0" w:color="auto"/>
            </w:tcBorders>
            <w:shd w:val="clear" w:color="auto" w:fill="auto"/>
            <w:noWrap/>
            <w:vAlign w:val="center"/>
            <w:hideMark/>
          </w:tcPr>
          <w:p w14:paraId="29849486"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3.044.710.570</w:t>
            </w:r>
          </w:p>
        </w:tc>
        <w:tc>
          <w:tcPr>
            <w:tcW w:w="520" w:type="dxa"/>
            <w:tcBorders>
              <w:top w:val="nil"/>
              <w:left w:val="nil"/>
              <w:bottom w:val="nil"/>
              <w:right w:val="nil"/>
            </w:tcBorders>
            <w:shd w:val="clear" w:color="auto" w:fill="auto"/>
            <w:noWrap/>
            <w:vAlign w:val="center"/>
            <w:hideMark/>
          </w:tcPr>
          <w:p w14:paraId="5E42A15C"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3D35279B"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3.511.118.952</w:t>
            </w:r>
          </w:p>
        </w:tc>
        <w:tc>
          <w:tcPr>
            <w:tcW w:w="1580" w:type="dxa"/>
            <w:tcBorders>
              <w:top w:val="nil"/>
              <w:left w:val="nil"/>
              <w:bottom w:val="nil"/>
              <w:right w:val="single" w:sz="4" w:space="0" w:color="auto"/>
            </w:tcBorders>
            <w:shd w:val="clear" w:color="auto" w:fill="auto"/>
            <w:noWrap/>
            <w:vAlign w:val="center"/>
            <w:hideMark/>
          </w:tcPr>
          <w:p w14:paraId="3B3D2F57"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-466.408.381</w:t>
            </w:r>
          </w:p>
        </w:tc>
      </w:tr>
      <w:tr w:rsidR="002871E8" w:rsidRPr="002871E8" w14:paraId="67878EBF"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07DAE8C9"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CAPITAL IDRD AC 180/05  FASE I</w:t>
            </w:r>
          </w:p>
        </w:tc>
        <w:tc>
          <w:tcPr>
            <w:tcW w:w="1300" w:type="dxa"/>
            <w:tcBorders>
              <w:top w:val="nil"/>
              <w:left w:val="single" w:sz="4" w:space="0" w:color="auto"/>
              <w:bottom w:val="nil"/>
              <w:right w:val="single" w:sz="4" w:space="0" w:color="auto"/>
            </w:tcBorders>
            <w:shd w:val="clear" w:color="auto" w:fill="auto"/>
            <w:noWrap/>
            <w:vAlign w:val="center"/>
            <w:hideMark/>
          </w:tcPr>
          <w:p w14:paraId="74210C8E"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227.179.903</w:t>
            </w:r>
          </w:p>
        </w:tc>
        <w:tc>
          <w:tcPr>
            <w:tcW w:w="520" w:type="dxa"/>
            <w:tcBorders>
              <w:top w:val="nil"/>
              <w:left w:val="nil"/>
              <w:bottom w:val="nil"/>
              <w:right w:val="nil"/>
            </w:tcBorders>
            <w:shd w:val="clear" w:color="auto" w:fill="auto"/>
            <w:noWrap/>
            <w:vAlign w:val="center"/>
            <w:hideMark/>
          </w:tcPr>
          <w:p w14:paraId="32EBA3D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14FA2DEE"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247.712.777</w:t>
            </w:r>
          </w:p>
        </w:tc>
        <w:tc>
          <w:tcPr>
            <w:tcW w:w="1580" w:type="dxa"/>
            <w:tcBorders>
              <w:top w:val="nil"/>
              <w:left w:val="nil"/>
              <w:bottom w:val="nil"/>
              <w:right w:val="single" w:sz="4" w:space="0" w:color="auto"/>
            </w:tcBorders>
            <w:shd w:val="clear" w:color="auto" w:fill="auto"/>
            <w:noWrap/>
            <w:vAlign w:val="center"/>
            <w:hideMark/>
          </w:tcPr>
          <w:p w14:paraId="5CC0B25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-20.532.874</w:t>
            </w:r>
          </w:p>
        </w:tc>
      </w:tr>
      <w:tr w:rsidR="002871E8" w:rsidRPr="002871E8" w14:paraId="5003DE91" w14:textId="77777777" w:rsidTr="002871E8">
        <w:trPr>
          <w:trHeight w:val="225"/>
        </w:trPr>
        <w:tc>
          <w:tcPr>
            <w:tcW w:w="4240" w:type="dxa"/>
            <w:tcBorders>
              <w:top w:val="single" w:sz="4" w:space="0" w:color="auto"/>
              <w:left w:val="single" w:sz="4" w:space="0" w:color="auto"/>
              <w:bottom w:val="single" w:sz="4" w:space="0" w:color="auto"/>
              <w:right w:val="nil"/>
            </w:tcBorders>
            <w:shd w:val="clear" w:color="000000" w:fill="D9D9D9"/>
            <w:noWrap/>
            <w:vAlign w:val="center"/>
            <w:hideMark/>
          </w:tcPr>
          <w:p w14:paraId="567C23FB"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 AC.180/05 FASE I</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7D31EB"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3.271.890.474</w:t>
            </w:r>
          </w:p>
        </w:tc>
        <w:tc>
          <w:tcPr>
            <w:tcW w:w="520" w:type="dxa"/>
            <w:tcBorders>
              <w:top w:val="single" w:sz="4" w:space="0" w:color="auto"/>
              <w:left w:val="nil"/>
              <w:bottom w:val="single" w:sz="4" w:space="0" w:color="auto"/>
              <w:right w:val="nil"/>
            </w:tcBorders>
            <w:shd w:val="clear" w:color="000000" w:fill="D9D9D9"/>
            <w:noWrap/>
            <w:vAlign w:val="center"/>
            <w:hideMark/>
          </w:tcPr>
          <w:p w14:paraId="24F0E721"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DFA00D"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3.758.831.729</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460BDC01"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-486.941.255</w:t>
            </w:r>
          </w:p>
        </w:tc>
      </w:tr>
      <w:tr w:rsidR="002871E8" w:rsidRPr="002871E8" w14:paraId="5262BD36"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3F7E301A"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300" w:type="dxa"/>
            <w:tcBorders>
              <w:top w:val="nil"/>
              <w:left w:val="single" w:sz="4" w:space="0" w:color="auto"/>
              <w:bottom w:val="nil"/>
              <w:right w:val="single" w:sz="4" w:space="0" w:color="auto"/>
            </w:tcBorders>
            <w:shd w:val="clear" w:color="auto" w:fill="auto"/>
            <w:noWrap/>
            <w:vAlign w:val="center"/>
            <w:hideMark/>
          </w:tcPr>
          <w:p w14:paraId="67081D99"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520" w:type="dxa"/>
            <w:tcBorders>
              <w:top w:val="nil"/>
              <w:left w:val="nil"/>
              <w:bottom w:val="nil"/>
              <w:right w:val="nil"/>
            </w:tcBorders>
            <w:shd w:val="clear" w:color="auto" w:fill="auto"/>
            <w:noWrap/>
            <w:vAlign w:val="center"/>
            <w:hideMark/>
          </w:tcPr>
          <w:p w14:paraId="3D6473B6"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51B7F3FE"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580" w:type="dxa"/>
            <w:tcBorders>
              <w:top w:val="nil"/>
              <w:left w:val="nil"/>
              <w:bottom w:val="nil"/>
              <w:right w:val="single" w:sz="4" w:space="0" w:color="auto"/>
            </w:tcBorders>
            <w:shd w:val="clear" w:color="auto" w:fill="auto"/>
            <w:noWrap/>
            <w:vAlign w:val="center"/>
            <w:hideMark/>
          </w:tcPr>
          <w:p w14:paraId="1918402D"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r>
      <w:tr w:rsidR="002871E8" w:rsidRPr="002871E8" w14:paraId="02E5CD47"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3101A9AB"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xml:space="preserve">CARTERA CAPITAL VALORIZ.AC.398/09 </w:t>
            </w:r>
          </w:p>
        </w:tc>
        <w:tc>
          <w:tcPr>
            <w:tcW w:w="1300" w:type="dxa"/>
            <w:tcBorders>
              <w:top w:val="nil"/>
              <w:left w:val="single" w:sz="4" w:space="0" w:color="auto"/>
              <w:bottom w:val="nil"/>
              <w:right w:val="single" w:sz="4" w:space="0" w:color="auto"/>
            </w:tcBorders>
            <w:shd w:val="clear" w:color="auto" w:fill="auto"/>
            <w:noWrap/>
            <w:vAlign w:val="center"/>
            <w:hideMark/>
          </w:tcPr>
          <w:p w14:paraId="27D6D1E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1.094.448.065</w:t>
            </w:r>
          </w:p>
        </w:tc>
        <w:tc>
          <w:tcPr>
            <w:tcW w:w="520" w:type="dxa"/>
            <w:tcBorders>
              <w:top w:val="nil"/>
              <w:left w:val="nil"/>
              <w:bottom w:val="nil"/>
              <w:right w:val="nil"/>
            </w:tcBorders>
            <w:shd w:val="clear" w:color="auto" w:fill="auto"/>
            <w:noWrap/>
            <w:vAlign w:val="bottom"/>
            <w:hideMark/>
          </w:tcPr>
          <w:p w14:paraId="77402B8A"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73D3410B"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1.159.978.752</w:t>
            </w:r>
          </w:p>
        </w:tc>
        <w:tc>
          <w:tcPr>
            <w:tcW w:w="1580" w:type="dxa"/>
            <w:tcBorders>
              <w:top w:val="nil"/>
              <w:left w:val="nil"/>
              <w:bottom w:val="nil"/>
              <w:right w:val="single" w:sz="4" w:space="0" w:color="auto"/>
            </w:tcBorders>
            <w:shd w:val="clear" w:color="auto" w:fill="auto"/>
            <w:noWrap/>
            <w:vAlign w:val="center"/>
            <w:hideMark/>
          </w:tcPr>
          <w:p w14:paraId="0A734334"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-65.530.687</w:t>
            </w:r>
          </w:p>
        </w:tc>
      </w:tr>
      <w:tr w:rsidR="002871E8" w:rsidRPr="002871E8" w14:paraId="7B3A5BFD" w14:textId="77777777" w:rsidTr="002871E8">
        <w:trPr>
          <w:trHeight w:val="225"/>
        </w:trPr>
        <w:tc>
          <w:tcPr>
            <w:tcW w:w="4240" w:type="dxa"/>
            <w:tcBorders>
              <w:top w:val="single" w:sz="4" w:space="0" w:color="auto"/>
              <w:left w:val="single" w:sz="4" w:space="0" w:color="auto"/>
              <w:bottom w:val="single" w:sz="4" w:space="0" w:color="auto"/>
              <w:right w:val="nil"/>
            </w:tcBorders>
            <w:shd w:val="clear" w:color="000000" w:fill="D9D9D9"/>
            <w:noWrap/>
            <w:vAlign w:val="center"/>
            <w:hideMark/>
          </w:tcPr>
          <w:p w14:paraId="4500D6CA"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 AC.398/09</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3CCD7D"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1.094.448.065</w:t>
            </w:r>
          </w:p>
        </w:tc>
        <w:tc>
          <w:tcPr>
            <w:tcW w:w="520" w:type="dxa"/>
            <w:tcBorders>
              <w:top w:val="single" w:sz="4" w:space="0" w:color="auto"/>
              <w:left w:val="nil"/>
              <w:bottom w:val="single" w:sz="4" w:space="0" w:color="auto"/>
              <w:right w:val="nil"/>
            </w:tcBorders>
            <w:shd w:val="clear" w:color="000000" w:fill="D9D9D9"/>
            <w:noWrap/>
            <w:vAlign w:val="center"/>
            <w:hideMark/>
          </w:tcPr>
          <w:p w14:paraId="53A4178A"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27EEE2"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1.159.978.752</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6C044790"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-65.530.687</w:t>
            </w:r>
          </w:p>
        </w:tc>
      </w:tr>
      <w:tr w:rsidR="002871E8" w:rsidRPr="002871E8" w14:paraId="5F872C3F"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08E802B5"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300" w:type="dxa"/>
            <w:tcBorders>
              <w:top w:val="nil"/>
              <w:left w:val="single" w:sz="4" w:space="0" w:color="auto"/>
              <w:bottom w:val="nil"/>
              <w:right w:val="single" w:sz="4" w:space="0" w:color="auto"/>
            </w:tcBorders>
            <w:shd w:val="clear" w:color="auto" w:fill="auto"/>
            <w:noWrap/>
            <w:vAlign w:val="center"/>
            <w:hideMark/>
          </w:tcPr>
          <w:p w14:paraId="47BC8EBA"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520" w:type="dxa"/>
            <w:tcBorders>
              <w:top w:val="nil"/>
              <w:left w:val="nil"/>
              <w:bottom w:val="nil"/>
              <w:right w:val="nil"/>
            </w:tcBorders>
            <w:shd w:val="clear" w:color="auto" w:fill="auto"/>
            <w:noWrap/>
            <w:vAlign w:val="center"/>
            <w:hideMark/>
          </w:tcPr>
          <w:p w14:paraId="27BC5F85"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p>
        </w:tc>
        <w:tc>
          <w:tcPr>
            <w:tcW w:w="1240" w:type="dxa"/>
            <w:tcBorders>
              <w:top w:val="nil"/>
              <w:left w:val="single" w:sz="4" w:space="0" w:color="auto"/>
              <w:bottom w:val="nil"/>
              <w:right w:val="single" w:sz="4" w:space="0" w:color="auto"/>
            </w:tcBorders>
            <w:shd w:val="clear" w:color="auto" w:fill="auto"/>
            <w:noWrap/>
            <w:vAlign w:val="center"/>
            <w:hideMark/>
          </w:tcPr>
          <w:p w14:paraId="00A94504"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c>
          <w:tcPr>
            <w:tcW w:w="1580" w:type="dxa"/>
            <w:tcBorders>
              <w:top w:val="nil"/>
              <w:left w:val="nil"/>
              <w:bottom w:val="nil"/>
              <w:right w:val="single" w:sz="4" w:space="0" w:color="auto"/>
            </w:tcBorders>
            <w:shd w:val="clear" w:color="auto" w:fill="auto"/>
            <w:noWrap/>
            <w:vAlign w:val="center"/>
            <w:hideMark/>
          </w:tcPr>
          <w:p w14:paraId="78C959CE"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w:t>
            </w:r>
          </w:p>
        </w:tc>
      </w:tr>
      <w:tr w:rsidR="002871E8" w:rsidRPr="002871E8" w14:paraId="30FDAFA8"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5FB94E5E"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xml:space="preserve">CARTERA CAPITAL VALORIZ.BENEFICIO GENERAL </w:t>
            </w:r>
          </w:p>
        </w:tc>
        <w:tc>
          <w:tcPr>
            <w:tcW w:w="1300" w:type="dxa"/>
            <w:tcBorders>
              <w:top w:val="nil"/>
              <w:left w:val="single" w:sz="4" w:space="0" w:color="auto"/>
              <w:bottom w:val="nil"/>
              <w:right w:val="single" w:sz="4" w:space="0" w:color="auto"/>
            </w:tcBorders>
            <w:shd w:val="clear" w:color="auto" w:fill="auto"/>
            <w:noWrap/>
            <w:vAlign w:val="center"/>
            <w:hideMark/>
          </w:tcPr>
          <w:p w14:paraId="6300520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253.219.987</w:t>
            </w:r>
          </w:p>
        </w:tc>
        <w:tc>
          <w:tcPr>
            <w:tcW w:w="520" w:type="dxa"/>
            <w:tcBorders>
              <w:top w:val="nil"/>
              <w:left w:val="nil"/>
              <w:bottom w:val="nil"/>
              <w:right w:val="nil"/>
            </w:tcBorders>
            <w:shd w:val="clear" w:color="auto" w:fill="auto"/>
            <w:noWrap/>
            <w:vAlign w:val="center"/>
            <w:hideMark/>
          </w:tcPr>
          <w:p w14:paraId="1E5897C3" w14:textId="77777777" w:rsidR="002871E8" w:rsidRPr="002871E8" w:rsidRDefault="002871E8" w:rsidP="00AB4D08">
            <w:pPr>
              <w:spacing w:after="0" w:line="240" w:lineRule="auto"/>
              <w:contextualSpacing/>
              <w:jc w:val="center"/>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240" w:type="dxa"/>
            <w:tcBorders>
              <w:top w:val="nil"/>
              <w:left w:val="single" w:sz="4" w:space="0" w:color="auto"/>
              <w:bottom w:val="nil"/>
              <w:right w:val="single" w:sz="4" w:space="0" w:color="auto"/>
            </w:tcBorders>
            <w:shd w:val="clear" w:color="auto" w:fill="auto"/>
            <w:noWrap/>
            <w:vAlign w:val="center"/>
            <w:hideMark/>
          </w:tcPr>
          <w:p w14:paraId="47C2E1EA"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310.850.810</w:t>
            </w:r>
          </w:p>
        </w:tc>
        <w:tc>
          <w:tcPr>
            <w:tcW w:w="1580" w:type="dxa"/>
            <w:tcBorders>
              <w:top w:val="nil"/>
              <w:left w:val="nil"/>
              <w:bottom w:val="nil"/>
              <w:right w:val="single" w:sz="4" w:space="0" w:color="auto"/>
            </w:tcBorders>
            <w:shd w:val="clear" w:color="auto" w:fill="auto"/>
            <w:noWrap/>
            <w:vAlign w:val="center"/>
            <w:hideMark/>
          </w:tcPr>
          <w:p w14:paraId="1A61B231"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-57.630.823</w:t>
            </w:r>
          </w:p>
        </w:tc>
      </w:tr>
      <w:tr w:rsidR="002871E8" w:rsidRPr="002871E8" w14:paraId="38F88A7C"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0F48A02B"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xml:space="preserve">CARTERA CAPITAL VALORIZ.AC.25/95 BENEF.LOCAL </w:t>
            </w:r>
          </w:p>
        </w:tc>
        <w:tc>
          <w:tcPr>
            <w:tcW w:w="1300" w:type="dxa"/>
            <w:tcBorders>
              <w:top w:val="nil"/>
              <w:left w:val="single" w:sz="4" w:space="0" w:color="auto"/>
              <w:bottom w:val="nil"/>
              <w:right w:val="single" w:sz="4" w:space="0" w:color="auto"/>
            </w:tcBorders>
            <w:shd w:val="clear" w:color="auto" w:fill="auto"/>
            <w:noWrap/>
            <w:vAlign w:val="center"/>
            <w:hideMark/>
          </w:tcPr>
          <w:p w14:paraId="703546D1"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1.056.569.070</w:t>
            </w:r>
          </w:p>
        </w:tc>
        <w:tc>
          <w:tcPr>
            <w:tcW w:w="520" w:type="dxa"/>
            <w:tcBorders>
              <w:top w:val="nil"/>
              <w:left w:val="nil"/>
              <w:bottom w:val="nil"/>
              <w:right w:val="nil"/>
            </w:tcBorders>
            <w:shd w:val="clear" w:color="auto" w:fill="auto"/>
            <w:noWrap/>
            <w:vAlign w:val="center"/>
            <w:hideMark/>
          </w:tcPr>
          <w:p w14:paraId="46EABEC7" w14:textId="77777777" w:rsidR="002871E8" w:rsidRPr="002871E8" w:rsidRDefault="002871E8" w:rsidP="00AB4D08">
            <w:pPr>
              <w:spacing w:after="0" w:line="240" w:lineRule="auto"/>
              <w:contextualSpacing/>
              <w:jc w:val="center"/>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240" w:type="dxa"/>
            <w:tcBorders>
              <w:top w:val="nil"/>
              <w:left w:val="single" w:sz="4" w:space="0" w:color="auto"/>
              <w:bottom w:val="nil"/>
              <w:right w:val="single" w:sz="4" w:space="0" w:color="auto"/>
            </w:tcBorders>
            <w:shd w:val="clear" w:color="auto" w:fill="auto"/>
            <w:noWrap/>
            <w:vAlign w:val="center"/>
            <w:hideMark/>
          </w:tcPr>
          <w:p w14:paraId="36A5C610"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1.188.137.631</w:t>
            </w:r>
          </w:p>
        </w:tc>
        <w:tc>
          <w:tcPr>
            <w:tcW w:w="1580" w:type="dxa"/>
            <w:tcBorders>
              <w:top w:val="nil"/>
              <w:left w:val="nil"/>
              <w:bottom w:val="nil"/>
              <w:right w:val="single" w:sz="4" w:space="0" w:color="auto"/>
            </w:tcBorders>
            <w:shd w:val="clear" w:color="auto" w:fill="auto"/>
            <w:noWrap/>
            <w:vAlign w:val="center"/>
            <w:hideMark/>
          </w:tcPr>
          <w:p w14:paraId="10AC31A0"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-131.568.561</w:t>
            </w:r>
          </w:p>
        </w:tc>
      </w:tr>
      <w:tr w:rsidR="002871E8" w:rsidRPr="002871E8" w14:paraId="76E54207"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31E59C34"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 xml:space="preserve">CARTERA CAPITAL VAQLORIZ.AC.48/01 </w:t>
            </w:r>
          </w:p>
        </w:tc>
        <w:tc>
          <w:tcPr>
            <w:tcW w:w="1300" w:type="dxa"/>
            <w:tcBorders>
              <w:top w:val="nil"/>
              <w:left w:val="single" w:sz="4" w:space="0" w:color="auto"/>
              <w:bottom w:val="nil"/>
              <w:right w:val="single" w:sz="4" w:space="0" w:color="auto"/>
            </w:tcBorders>
            <w:shd w:val="clear" w:color="auto" w:fill="auto"/>
            <w:noWrap/>
            <w:vAlign w:val="center"/>
            <w:hideMark/>
          </w:tcPr>
          <w:p w14:paraId="50A6329C"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499.868.738</w:t>
            </w:r>
          </w:p>
        </w:tc>
        <w:tc>
          <w:tcPr>
            <w:tcW w:w="520" w:type="dxa"/>
            <w:tcBorders>
              <w:top w:val="nil"/>
              <w:left w:val="nil"/>
              <w:bottom w:val="nil"/>
              <w:right w:val="nil"/>
            </w:tcBorders>
            <w:shd w:val="clear" w:color="auto" w:fill="auto"/>
            <w:noWrap/>
            <w:vAlign w:val="bottom"/>
            <w:hideMark/>
          </w:tcPr>
          <w:p w14:paraId="12F05B99" w14:textId="77777777" w:rsidR="002871E8" w:rsidRPr="002871E8" w:rsidRDefault="002871E8" w:rsidP="00AB4D08">
            <w:pPr>
              <w:spacing w:after="0" w:line="240" w:lineRule="auto"/>
              <w:contextualSpacing/>
              <w:jc w:val="center"/>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240" w:type="dxa"/>
            <w:tcBorders>
              <w:top w:val="nil"/>
              <w:left w:val="single" w:sz="4" w:space="0" w:color="auto"/>
              <w:bottom w:val="nil"/>
              <w:right w:val="single" w:sz="4" w:space="0" w:color="auto"/>
            </w:tcBorders>
            <w:shd w:val="clear" w:color="auto" w:fill="auto"/>
            <w:noWrap/>
            <w:vAlign w:val="center"/>
            <w:hideMark/>
          </w:tcPr>
          <w:p w14:paraId="29F6B6A7"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561.157.555</w:t>
            </w:r>
          </w:p>
        </w:tc>
        <w:tc>
          <w:tcPr>
            <w:tcW w:w="1580" w:type="dxa"/>
            <w:tcBorders>
              <w:top w:val="nil"/>
              <w:left w:val="nil"/>
              <w:bottom w:val="nil"/>
              <w:right w:val="single" w:sz="4" w:space="0" w:color="auto"/>
            </w:tcBorders>
            <w:shd w:val="clear" w:color="auto" w:fill="auto"/>
            <w:noWrap/>
            <w:vAlign w:val="center"/>
            <w:hideMark/>
          </w:tcPr>
          <w:p w14:paraId="78C9F5BD"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-61.288.817</w:t>
            </w:r>
          </w:p>
        </w:tc>
      </w:tr>
      <w:tr w:rsidR="002871E8" w:rsidRPr="002871E8" w14:paraId="2BE93E58"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5422F5D0"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CAPITAL OBRA POR TU LUGAR</w:t>
            </w:r>
          </w:p>
        </w:tc>
        <w:tc>
          <w:tcPr>
            <w:tcW w:w="1300" w:type="dxa"/>
            <w:tcBorders>
              <w:top w:val="nil"/>
              <w:left w:val="single" w:sz="4" w:space="0" w:color="auto"/>
              <w:bottom w:val="nil"/>
              <w:right w:val="single" w:sz="4" w:space="0" w:color="auto"/>
            </w:tcBorders>
            <w:shd w:val="clear" w:color="auto" w:fill="auto"/>
            <w:noWrap/>
            <w:vAlign w:val="center"/>
            <w:hideMark/>
          </w:tcPr>
          <w:p w14:paraId="5C3CFC5C"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16.017.564</w:t>
            </w:r>
          </w:p>
        </w:tc>
        <w:tc>
          <w:tcPr>
            <w:tcW w:w="520" w:type="dxa"/>
            <w:tcBorders>
              <w:top w:val="nil"/>
              <w:left w:val="nil"/>
              <w:bottom w:val="nil"/>
              <w:right w:val="nil"/>
            </w:tcBorders>
            <w:shd w:val="clear" w:color="auto" w:fill="auto"/>
            <w:noWrap/>
            <w:vAlign w:val="bottom"/>
            <w:hideMark/>
          </w:tcPr>
          <w:p w14:paraId="2AAA406C" w14:textId="77777777" w:rsidR="002871E8" w:rsidRPr="002871E8" w:rsidRDefault="002871E8" w:rsidP="00AB4D08">
            <w:pPr>
              <w:spacing w:after="0" w:line="240" w:lineRule="auto"/>
              <w:contextualSpacing/>
              <w:jc w:val="center"/>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240" w:type="dxa"/>
            <w:tcBorders>
              <w:top w:val="nil"/>
              <w:left w:val="single" w:sz="4" w:space="0" w:color="auto"/>
              <w:bottom w:val="nil"/>
              <w:right w:val="single" w:sz="4" w:space="0" w:color="auto"/>
            </w:tcBorders>
            <w:shd w:val="clear" w:color="auto" w:fill="auto"/>
            <w:noWrap/>
            <w:vAlign w:val="center"/>
            <w:hideMark/>
          </w:tcPr>
          <w:p w14:paraId="60763165"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16.017.564</w:t>
            </w:r>
          </w:p>
        </w:tc>
        <w:tc>
          <w:tcPr>
            <w:tcW w:w="1580" w:type="dxa"/>
            <w:tcBorders>
              <w:top w:val="nil"/>
              <w:left w:val="nil"/>
              <w:bottom w:val="nil"/>
              <w:right w:val="single" w:sz="4" w:space="0" w:color="auto"/>
            </w:tcBorders>
            <w:shd w:val="clear" w:color="auto" w:fill="auto"/>
            <w:noWrap/>
            <w:vAlign w:val="center"/>
            <w:hideMark/>
          </w:tcPr>
          <w:p w14:paraId="3151D871"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r>
      <w:tr w:rsidR="002871E8" w:rsidRPr="002871E8" w14:paraId="08061943" w14:textId="77777777" w:rsidTr="002871E8">
        <w:trPr>
          <w:trHeight w:val="225"/>
        </w:trPr>
        <w:tc>
          <w:tcPr>
            <w:tcW w:w="4240" w:type="dxa"/>
            <w:tcBorders>
              <w:top w:val="nil"/>
              <w:left w:val="single" w:sz="4" w:space="0" w:color="auto"/>
              <w:bottom w:val="nil"/>
              <w:right w:val="nil"/>
            </w:tcBorders>
            <w:shd w:val="clear" w:color="auto" w:fill="auto"/>
            <w:noWrap/>
            <w:vAlign w:val="center"/>
            <w:hideMark/>
          </w:tcPr>
          <w:p w14:paraId="2E0980E6" w14:textId="77777777" w:rsidR="002871E8" w:rsidRPr="002871E8" w:rsidRDefault="002871E8" w:rsidP="00AB4D08">
            <w:pPr>
              <w:spacing w:after="0" w:line="240" w:lineRule="auto"/>
              <w:contextualSpacing/>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CARTERA CAPITAL VALORIZ.CIUDAD SALITRE</w:t>
            </w:r>
          </w:p>
        </w:tc>
        <w:tc>
          <w:tcPr>
            <w:tcW w:w="1300" w:type="dxa"/>
            <w:tcBorders>
              <w:top w:val="nil"/>
              <w:left w:val="single" w:sz="4" w:space="0" w:color="auto"/>
              <w:bottom w:val="nil"/>
              <w:right w:val="single" w:sz="4" w:space="0" w:color="auto"/>
            </w:tcBorders>
            <w:shd w:val="clear" w:color="auto" w:fill="auto"/>
            <w:noWrap/>
            <w:vAlign w:val="center"/>
            <w:hideMark/>
          </w:tcPr>
          <w:p w14:paraId="3DA2C39B"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4.933.142</w:t>
            </w:r>
          </w:p>
        </w:tc>
        <w:tc>
          <w:tcPr>
            <w:tcW w:w="520" w:type="dxa"/>
            <w:tcBorders>
              <w:top w:val="nil"/>
              <w:left w:val="nil"/>
              <w:bottom w:val="nil"/>
              <w:right w:val="nil"/>
            </w:tcBorders>
            <w:shd w:val="clear" w:color="auto" w:fill="auto"/>
            <w:noWrap/>
            <w:vAlign w:val="bottom"/>
            <w:hideMark/>
          </w:tcPr>
          <w:p w14:paraId="2836F929" w14:textId="77777777" w:rsidR="002871E8" w:rsidRPr="002871E8" w:rsidRDefault="002871E8" w:rsidP="00AB4D08">
            <w:pPr>
              <w:spacing w:after="0" w:line="240" w:lineRule="auto"/>
              <w:contextualSpacing/>
              <w:jc w:val="center"/>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c>
          <w:tcPr>
            <w:tcW w:w="1240" w:type="dxa"/>
            <w:tcBorders>
              <w:top w:val="nil"/>
              <w:left w:val="single" w:sz="4" w:space="0" w:color="auto"/>
              <w:bottom w:val="nil"/>
              <w:right w:val="single" w:sz="4" w:space="0" w:color="auto"/>
            </w:tcBorders>
            <w:shd w:val="clear" w:color="auto" w:fill="auto"/>
            <w:noWrap/>
            <w:vAlign w:val="center"/>
            <w:hideMark/>
          </w:tcPr>
          <w:p w14:paraId="60016A4A"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4.933.142</w:t>
            </w:r>
          </w:p>
        </w:tc>
        <w:tc>
          <w:tcPr>
            <w:tcW w:w="1580" w:type="dxa"/>
            <w:tcBorders>
              <w:top w:val="nil"/>
              <w:left w:val="nil"/>
              <w:bottom w:val="nil"/>
              <w:right w:val="single" w:sz="4" w:space="0" w:color="auto"/>
            </w:tcBorders>
            <w:shd w:val="clear" w:color="auto" w:fill="auto"/>
            <w:noWrap/>
            <w:vAlign w:val="center"/>
            <w:hideMark/>
          </w:tcPr>
          <w:p w14:paraId="31579544" w14:textId="77777777" w:rsidR="002871E8" w:rsidRPr="002871E8" w:rsidRDefault="002871E8" w:rsidP="00AB4D08">
            <w:pPr>
              <w:spacing w:after="0" w:line="240" w:lineRule="auto"/>
              <w:contextualSpacing/>
              <w:jc w:val="right"/>
              <w:rPr>
                <w:rFonts w:ascii="Times New Roman" w:eastAsia="Times New Roman" w:hAnsi="Times New Roman"/>
                <w:color w:val="000000"/>
                <w:sz w:val="16"/>
                <w:szCs w:val="16"/>
                <w:lang w:eastAsia="es-CO"/>
              </w:rPr>
            </w:pPr>
            <w:r w:rsidRPr="002871E8">
              <w:rPr>
                <w:rFonts w:ascii="Times New Roman" w:eastAsia="Times New Roman" w:hAnsi="Times New Roman"/>
                <w:color w:val="000000"/>
                <w:sz w:val="16"/>
                <w:szCs w:val="16"/>
                <w:lang w:eastAsia="es-CO"/>
              </w:rPr>
              <w:t>0</w:t>
            </w:r>
          </w:p>
        </w:tc>
      </w:tr>
      <w:tr w:rsidR="002871E8" w:rsidRPr="002871E8" w14:paraId="0E8A6357" w14:textId="77777777" w:rsidTr="002871E8">
        <w:trPr>
          <w:trHeight w:val="225"/>
        </w:trPr>
        <w:tc>
          <w:tcPr>
            <w:tcW w:w="4240" w:type="dxa"/>
            <w:tcBorders>
              <w:top w:val="single" w:sz="4" w:space="0" w:color="auto"/>
              <w:left w:val="single" w:sz="4" w:space="0" w:color="auto"/>
              <w:bottom w:val="single" w:sz="4" w:space="0" w:color="auto"/>
              <w:right w:val="nil"/>
            </w:tcBorders>
            <w:shd w:val="clear" w:color="000000" w:fill="D9D9D9"/>
            <w:noWrap/>
            <w:vAlign w:val="center"/>
            <w:hideMark/>
          </w:tcPr>
          <w:p w14:paraId="6D03E4B9"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 ACUERDOS ANTERIORES</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6A6EB0"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1.830.608.501</w:t>
            </w:r>
          </w:p>
        </w:tc>
        <w:tc>
          <w:tcPr>
            <w:tcW w:w="520" w:type="dxa"/>
            <w:tcBorders>
              <w:top w:val="single" w:sz="4" w:space="0" w:color="auto"/>
              <w:left w:val="nil"/>
              <w:bottom w:val="single" w:sz="4" w:space="0" w:color="auto"/>
              <w:right w:val="nil"/>
            </w:tcBorders>
            <w:shd w:val="clear" w:color="000000" w:fill="D9D9D9"/>
            <w:noWrap/>
            <w:vAlign w:val="center"/>
            <w:hideMark/>
          </w:tcPr>
          <w:p w14:paraId="13253BEB"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786204"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2.081.096.702</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2354FD69"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-250.488.201</w:t>
            </w:r>
          </w:p>
        </w:tc>
      </w:tr>
      <w:tr w:rsidR="002871E8" w:rsidRPr="002871E8" w14:paraId="7E8935DB" w14:textId="77777777" w:rsidTr="002871E8">
        <w:trPr>
          <w:trHeight w:val="225"/>
        </w:trPr>
        <w:tc>
          <w:tcPr>
            <w:tcW w:w="4240" w:type="dxa"/>
            <w:tcBorders>
              <w:top w:val="nil"/>
              <w:left w:val="single" w:sz="4" w:space="0" w:color="auto"/>
              <w:bottom w:val="single" w:sz="4" w:space="0" w:color="auto"/>
              <w:right w:val="nil"/>
            </w:tcBorders>
            <w:shd w:val="clear" w:color="000000" w:fill="D9D9D9"/>
            <w:noWrap/>
            <w:vAlign w:val="center"/>
            <w:hideMark/>
          </w:tcPr>
          <w:p w14:paraId="6E11AAF0" w14:textId="77777777" w:rsidR="002871E8" w:rsidRPr="002871E8" w:rsidRDefault="002871E8" w:rsidP="00AB4D08">
            <w:pPr>
              <w:spacing w:after="0" w:line="240" w:lineRule="auto"/>
              <w:contextualSpacing/>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TOTAL CARTERA CAPITAL</w:t>
            </w:r>
          </w:p>
        </w:tc>
        <w:tc>
          <w:tcPr>
            <w:tcW w:w="1300" w:type="dxa"/>
            <w:tcBorders>
              <w:top w:val="nil"/>
              <w:left w:val="single" w:sz="4" w:space="0" w:color="auto"/>
              <w:bottom w:val="single" w:sz="4" w:space="0" w:color="auto"/>
              <w:right w:val="single" w:sz="4" w:space="0" w:color="auto"/>
            </w:tcBorders>
            <w:shd w:val="clear" w:color="000000" w:fill="D9D9D9"/>
            <w:noWrap/>
            <w:vAlign w:val="center"/>
            <w:hideMark/>
          </w:tcPr>
          <w:p w14:paraId="36D7AB14"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230.207.172.588</w:t>
            </w:r>
          </w:p>
        </w:tc>
        <w:tc>
          <w:tcPr>
            <w:tcW w:w="520" w:type="dxa"/>
            <w:tcBorders>
              <w:top w:val="nil"/>
              <w:left w:val="nil"/>
              <w:bottom w:val="single" w:sz="4" w:space="0" w:color="auto"/>
              <w:right w:val="nil"/>
            </w:tcBorders>
            <w:shd w:val="clear" w:color="000000" w:fill="D9D9D9"/>
            <w:noWrap/>
            <w:vAlign w:val="center"/>
            <w:hideMark/>
          </w:tcPr>
          <w:p w14:paraId="0ACAFBB4" w14:textId="77777777" w:rsidR="002871E8" w:rsidRPr="002871E8" w:rsidRDefault="002871E8" w:rsidP="00AB4D08">
            <w:pPr>
              <w:spacing w:after="0" w:line="240" w:lineRule="auto"/>
              <w:contextualSpacing/>
              <w:jc w:val="center"/>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100</w:t>
            </w:r>
          </w:p>
        </w:tc>
        <w:tc>
          <w:tcPr>
            <w:tcW w:w="1240" w:type="dxa"/>
            <w:tcBorders>
              <w:top w:val="nil"/>
              <w:left w:val="single" w:sz="4" w:space="0" w:color="auto"/>
              <w:bottom w:val="single" w:sz="4" w:space="0" w:color="auto"/>
              <w:right w:val="single" w:sz="4" w:space="0" w:color="auto"/>
            </w:tcBorders>
            <w:shd w:val="clear" w:color="000000" w:fill="D9D9D9"/>
            <w:noWrap/>
            <w:vAlign w:val="center"/>
            <w:hideMark/>
          </w:tcPr>
          <w:p w14:paraId="2826EF46"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21.132.758.109</w:t>
            </w:r>
          </w:p>
        </w:tc>
        <w:tc>
          <w:tcPr>
            <w:tcW w:w="1580" w:type="dxa"/>
            <w:tcBorders>
              <w:top w:val="nil"/>
              <w:left w:val="nil"/>
              <w:bottom w:val="single" w:sz="4" w:space="0" w:color="auto"/>
              <w:right w:val="single" w:sz="4" w:space="0" w:color="auto"/>
            </w:tcBorders>
            <w:shd w:val="clear" w:color="000000" w:fill="D9D9D9"/>
            <w:noWrap/>
            <w:vAlign w:val="center"/>
            <w:hideMark/>
          </w:tcPr>
          <w:p w14:paraId="78B623D2" w14:textId="77777777" w:rsidR="002871E8" w:rsidRPr="002871E8" w:rsidRDefault="002871E8" w:rsidP="00AB4D08">
            <w:pPr>
              <w:spacing w:after="0" w:line="240" w:lineRule="auto"/>
              <w:contextualSpacing/>
              <w:jc w:val="right"/>
              <w:rPr>
                <w:rFonts w:ascii="Times New Roman" w:eastAsia="Times New Roman" w:hAnsi="Times New Roman"/>
                <w:b/>
                <w:bCs/>
                <w:color w:val="000000"/>
                <w:sz w:val="16"/>
                <w:szCs w:val="16"/>
                <w:lang w:eastAsia="es-CO"/>
              </w:rPr>
            </w:pPr>
            <w:r w:rsidRPr="002871E8">
              <w:rPr>
                <w:rFonts w:ascii="Times New Roman" w:eastAsia="Times New Roman" w:hAnsi="Times New Roman"/>
                <w:b/>
                <w:bCs/>
                <w:color w:val="000000"/>
                <w:sz w:val="16"/>
                <w:szCs w:val="16"/>
                <w:lang w:eastAsia="es-CO"/>
              </w:rPr>
              <w:t>209.074.414.479</w:t>
            </w:r>
          </w:p>
        </w:tc>
      </w:tr>
    </w:tbl>
    <w:p w14:paraId="1A014F4A" w14:textId="77777777" w:rsidR="002871E8" w:rsidRDefault="002871E8" w:rsidP="00AB4D08">
      <w:pPr>
        <w:spacing w:after="0" w:line="240" w:lineRule="auto"/>
        <w:ind w:left="720"/>
        <w:contextualSpacing/>
        <w:jc w:val="both"/>
        <w:rPr>
          <w:rFonts w:ascii="Times New Roman" w:hAnsi="Times New Roman"/>
          <w:sz w:val="24"/>
          <w:szCs w:val="24"/>
        </w:rPr>
      </w:pPr>
    </w:p>
    <w:p w14:paraId="1F48AF94" w14:textId="77777777" w:rsid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La variación de $209.074.414.479, en el concepto de capital valorización, obedece principalmente</w:t>
      </w:r>
      <w:r>
        <w:rPr>
          <w:rFonts w:ascii="Times New Roman" w:eastAsia="Arial" w:hAnsi="Times New Roman"/>
          <w:sz w:val="24"/>
          <w:szCs w:val="24"/>
        </w:rPr>
        <w:t xml:space="preserve"> a</w:t>
      </w:r>
      <w:r w:rsidRPr="00957C30">
        <w:rPr>
          <w:rFonts w:ascii="Times New Roman" w:eastAsia="Arial" w:hAnsi="Times New Roman"/>
          <w:sz w:val="24"/>
          <w:szCs w:val="24"/>
        </w:rPr>
        <w:t>:</w:t>
      </w:r>
    </w:p>
    <w:p w14:paraId="6C116A46" w14:textId="77777777" w:rsid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br/>
        <w:t>Aumento por causación, notificación y ejecutoria, liquidación y generación cuentas de cobro, reportado en la interfaz del sistema valorización a STONE.</w:t>
      </w:r>
    </w:p>
    <w:p w14:paraId="76D111A9" w14:textId="38D3AAEA"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br/>
        <w:t>La cartera ejecutoriada representa las deudas exigibles por parte del IDU, de los Acuerdos de valorización, para la vigencia 2019, el 92% corresponde al Acuerdo 724 de 2018, el 5% al  Acuerdo 523 de 2013</w:t>
      </w:r>
    </w:p>
    <w:p w14:paraId="4D9F726F" w14:textId="77777777" w:rsidR="00957C30" w:rsidRPr="00957C30" w:rsidRDefault="00957C30" w:rsidP="00AB4D08">
      <w:pPr>
        <w:spacing w:line="240" w:lineRule="auto"/>
        <w:ind w:left="567"/>
        <w:contextualSpacing/>
        <w:jc w:val="both"/>
        <w:rPr>
          <w:rFonts w:ascii="Times New Roman" w:eastAsia="Arial" w:hAnsi="Times New Roman"/>
          <w:sz w:val="24"/>
          <w:szCs w:val="24"/>
        </w:rPr>
      </w:pPr>
    </w:p>
    <w:p w14:paraId="78F5F7D8"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Disminución de saldos de cartera ejecutoriada, por recaudos registrados en la tesorería de la entidad en la vigencia 2019, del total recaudado el 99% corresponde al Acuerdo 724 de 2018.</w:t>
      </w:r>
    </w:p>
    <w:p w14:paraId="0F320C69" w14:textId="77777777" w:rsidR="00957C30" w:rsidRPr="00957C30" w:rsidRDefault="00957C30" w:rsidP="00AB4D08">
      <w:pPr>
        <w:spacing w:line="240" w:lineRule="auto"/>
        <w:ind w:left="567"/>
        <w:contextualSpacing/>
        <w:jc w:val="both"/>
        <w:rPr>
          <w:rFonts w:ascii="Times New Roman" w:eastAsia="Arial" w:hAnsi="Times New Roman"/>
          <w:sz w:val="24"/>
          <w:szCs w:val="24"/>
        </w:rPr>
      </w:pPr>
    </w:p>
    <w:p w14:paraId="0E12E433"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Disminución de saldos de cartera ejecutoriada por aplicación de la Resolución 1754 de mayo 6 de 2019, de remisión tributaria, obligaciones saneamiento contable acuerdos anteriores</w:t>
      </w:r>
      <w:r w:rsidRPr="00957C30">
        <w:rPr>
          <w:rFonts w:ascii="Times New Roman" w:hAnsi="Times New Roman"/>
          <w:sz w:val="24"/>
          <w:szCs w:val="24"/>
        </w:rPr>
        <w:t>.</w:t>
      </w:r>
    </w:p>
    <w:p w14:paraId="05C93A05" w14:textId="77777777" w:rsidR="00957C30" w:rsidRPr="00957C30" w:rsidRDefault="00957C30" w:rsidP="00AB4D08">
      <w:pPr>
        <w:spacing w:line="240" w:lineRule="auto"/>
        <w:ind w:left="567"/>
        <w:contextualSpacing/>
        <w:jc w:val="both"/>
        <w:rPr>
          <w:rFonts w:ascii="Times New Roman" w:eastAsia="Arial" w:hAnsi="Times New Roman"/>
          <w:sz w:val="24"/>
          <w:szCs w:val="24"/>
        </w:rPr>
      </w:pPr>
      <w:r w:rsidRPr="00957C30">
        <w:rPr>
          <w:rFonts w:ascii="Times New Roman" w:eastAsia="Arial" w:hAnsi="Times New Roman"/>
          <w:sz w:val="24"/>
          <w:szCs w:val="24"/>
        </w:rPr>
        <w:t xml:space="preserve"> </w:t>
      </w:r>
    </w:p>
    <w:p w14:paraId="33DAB4BF" w14:textId="13C37BDB" w:rsidR="00FC02F9" w:rsidRPr="00957C30" w:rsidRDefault="00957C30" w:rsidP="00AB4D08">
      <w:pPr>
        <w:spacing w:after="0" w:line="240" w:lineRule="auto"/>
        <w:ind w:left="567"/>
        <w:contextualSpacing/>
        <w:jc w:val="both"/>
        <w:rPr>
          <w:rFonts w:ascii="Times New Roman" w:hAnsi="Times New Roman"/>
          <w:sz w:val="24"/>
          <w:szCs w:val="24"/>
        </w:rPr>
      </w:pPr>
      <w:r w:rsidRPr="00957C30">
        <w:rPr>
          <w:rFonts w:ascii="Times New Roman" w:eastAsia="Arial" w:hAnsi="Times New Roman"/>
          <w:sz w:val="24"/>
          <w:szCs w:val="24"/>
        </w:rPr>
        <w:t>Disminución por ajustes, aplicación Depósitos en Garantía y actualización de estados de cuenta, por reliquidaciones y Expedientes de reclamación resueltos en la Subdirección Técnica Jurídica y de Ejecuciones Fiscales.</w:t>
      </w:r>
    </w:p>
    <w:p w14:paraId="6854D8F4" w14:textId="77777777" w:rsidR="00FC02F9" w:rsidRPr="00957C30" w:rsidRDefault="00FC02F9" w:rsidP="00AB4D08">
      <w:pPr>
        <w:spacing w:after="0" w:line="240" w:lineRule="auto"/>
        <w:ind w:left="567"/>
        <w:contextualSpacing/>
        <w:jc w:val="both"/>
        <w:rPr>
          <w:rFonts w:ascii="Times New Roman" w:hAnsi="Times New Roman"/>
          <w:sz w:val="24"/>
          <w:szCs w:val="24"/>
        </w:rPr>
      </w:pPr>
    </w:p>
    <w:p w14:paraId="1A13F31E" w14:textId="728D5533" w:rsidR="00FC02F9" w:rsidRDefault="00EF4D47" w:rsidP="00AB4D08">
      <w:pPr>
        <w:spacing w:after="0" w:line="240" w:lineRule="auto"/>
        <w:ind w:left="567"/>
        <w:contextualSpacing/>
        <w:jc w:val="both"/>
        <w:rPr>
          <w:rFonts w:ascii="Times New Roman" w:hAnsi="Times New Roman"/>
          <w:sz w:val="24"/>
          <w:szCs w:val="24"/>
        </w:rPr>
      </w:pPr>
      <w:r w:rsidRPr="00684D59">
        <w:rPr>
          <w:noProof/>
          <w:lang w:eastAsia="es-CO"/>
        </w:rPr>
        <w:lastRenderedPageBreak/>
        <w:drawing>
          <wp:inline distT="0" distB="0" distL="0" distR="0" wp14:anchorId="330A6E0E" wp14:editId="322CD18C">
            <wp:extent cx="5608320" cy="32861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8320" cy="3286125"/>
                    </a:xfrm>
                    <a:prstGeom prst="rect">
                      <a:avLst/>
                    </a:prstGeom>
                  </pic:spPr>
                </pic:pic>
              </a:graphicData>
            </a:graphic>
          </wp:inline>
        </w:drawing>
      </w:r>
    </w:p>
    <w:p w14:paraId="0A627DA6" w14:textId="77777777" w:rsidR="00FC02F9" w:rsidRPr="00EF4D47" w:rsidRDefault="00FC02F9" w:rsidP="00AB4D08">
      <w:pPr>
        <w:spacing w:after="0" w:line="240" w:lineRule="auto"/>
        <w:ind w:left="567"/>
        <w:contextualSpacing/>
        <w:jc w:val="both"/>
        <w:rPr>
          <w:rFonts w:ascii="Times New Roman" w:hAnsi="Times New Roman"/>
          <w:sz w:val="24"/>
          <w:szCs w:val="24"/>
        </w:rPr>
      </w:pPr>
    </w:p>
    <w:p w14:paraId="3DFE96BB"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En valorización, para el 2019, se encuentran demandas en la Jurisdicción de lo contencioso Administrativo:</w:t>
      </w:r>
    </w:p>
    <w:p w14:paraId="6AE962F1"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16859DAE"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Acuerdo 398 de 2009     </w:t>
      </w:r>
      <w:r w:rsidRPr="00EF4D47">
        <w:rPr>
          <w:rFonts w:ascii="Times New Roman" w:eastAsia="Arial" w:hAnsi="Times New Roman"/>
          <w:sz w:val="24"/>
          <w:szCs w:val="24"/>
        </w:rPr>
        <w:tab/>
        <w:t>$15.285.740.462</w:t>
      </w:r>
    </w:p>
    <w:p w14:paraId="1EFEE5DE" w14:textId="42D689F5"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Acuerdo 523 de 2013     </w:t>
      </w:r>
      <w:r w:rsidRPr="00EF4D47">
        <w:rPr>
          <w:rFonts w:ascii="Times New Roman" w:eastAsia="Arial" w:hAnsi="Times New Roman"/>
          <w:sz w:val="24"/>
          <w:szCs w:val="24"/>
        </w:rPr>
        <w:tab/>
        <w:t xml:space="preserve">$     </w:t>
      </w:r>
      <w:r w:rsidR="00164D08">
        <w:rPr>
          <w:rFonts w:ascii="Times New Roman" w:eastAsia="Arial" w:hAnsi="Times New Roman"/>
          <w:sz w:val="24"/>
          <w:szCs w:val="24"/>
        </w:rPr>
        <w:t xml:space="preserve">    </w:t>
      </w:r>
      <w:r w:rsidRPr="00EF4D47">
        <w:rPr>
          <w:rFonts w:ascii="Times New Roman" w:eastAsia="Arial" w:hAnsi="Times New Roman"/>
          <w:sz w:val="24"/>
          <w:szCs w:val="24"/>
        </w:rPr>
        <w:t>7.206.179</w:t>
      </w:r>
    </w:p>
    <w:p w14:paraId="33C53E54" w14:textId="77777777" w:rsidR="00EF4D47" w:rsidRPr="00EF4D47" w:rsidRDefault="00EF4D47" w:rsidP="00AB4D08">
      <w:pPr>
        <w:spacing w:line="240" w:lineRule="auto"/>
        <w:ind w:left="567"/>
        <w:contextualSpacing/>
        <w:jc w:val="both"/>
        <w:rPr>
          <w:rFonts w:ascii="Times New Roman" w:eastAsia="Arial" w:hAnsi="Times New Roman"/>
          <w:sz w:val="24"/>
          <w:szCs w:val="24"/>
        </w:rPr>
      </w:pPr>
    </w:p>
    <w:p w14:paraId="30F4FDB3"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Proceso 2016-01269 de nulidad y restablecimiento del derecho, Resoluciones Acuerdo 398 de 2009, por un monto de $4.549.280.122, demanda interpuesta por la sociedad concesionaria operadora aeroportuaria internacional- OPAIN, ante el Tribunal Administrativo de Cundinamarca- Sección Cuarta Subsección A.</w:t>
      </w:r>
    </w:p>
    <w:p w14:paraId="41B5860F"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6BE4B29B"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Proceso 2017-01502 de nulidad y restablecimiento del derecho, Resoluciones Acuerdo 398 de 2009, por un monto de $7.874.700.994, demanda interpuesta por la compañía de desarrollo aeroportuario el dorado CODAD S.A., ante el Tribunal Administrativo de Cundinamarca- Sección Cuarta Subsección A</w:t>
      </w:r>
    </w:p>
    <w:p w14:paraId="31E27E4E" w14:textId="7B90BBB6"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Mecanismos que ha implementado el Instituto para la </w:t>
      </w:r>
      <w:r w:rsidR="00164D08">
        <w:rPr>
          <w:rFonts w:ascii="Times New Roman" w:eastAsia="Arial" w:hAnsi="Times New Roman"/>
          <w:sz w:val="24"/>
          <w:szCs w:val="24"/>
        </w:rPr>
        <w:t>r</w:t>
      </w:r>
      <w:r w:rsidRPr="00EF4D47">
        <w:rPr>
          <w:rFonts w:ascii="Times New Roman" w:eastAsia="Arial" w:hAnsi="Times New Roman"/>
          <w:sz w:val="24"/>
          <w:szCs w:val="24"/>
        </w:rPr>
        <w:t xml:space="preserve">ecuperación de </w:t>
      </w:r>
      <w:r w:rsidR="00164D08">
        <w:rPr>
          <w:rFonts w:ascii="Times New Roman" w:eastAsia="Arial" w:hAnsi="Times New Roman"/>
          <w:sz w:val="24"/>
          <w:szCs w:val="24"/>
        </w:rPr>
        <w:t>c</w:t>
      </w:r>
      <w:r w:rsidRPr="00EF4D47">
        <w:rPr>
          <w:rFonts w:ascii="Times New Roman" w:eastAsia="Arial" w:hAnsi="Times New Roman"/>
          <w:sz w:val="24"/>
          <w:szCs w:val="24"/>
        </w:rPr>
        <w:t xml:space="preserve">artera </w:t>
      </w:r>
      <w:r w:rsidR="00164D08">
        <w:rPr>
          <w:rFonts w:ascii="Times New Roman" w:eastAsia="Arial" w:hAnsi="Times New Roman"/>
          <w:sz w:val="24"/>
          <w:szCs w:val="24"/>
        </w:rPr>
        <w:t>m</w:t>
      </w:r>
      <w:r w:rsidRPr="00EF4D47">
        <w:rPr>
          <w:rFonts w:ascii="Times New Roman" w:eastAsia="Arial" w:hAnsi="Times New Roman"/>
          <w:sz w:val="24"/>
          <w:szCs w:val="24"/>
        </w:rPr>
        <w:t>orosa de valorización</w:t>
      </w:r>
    </w:p>
    <w:p w14:paraId="591437D2"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77AE6A0C"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La cartera por concepto de valorización se ha clasificado según la etapa de gestión cobro:</w:t>
      </w:r>
    </w:p>
    <w:p w14:paraId="79274ABD"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736B2294" w14:textId="77777777" w:rsidR="00EF4D47" w:rsidRPr="00EF4D47" w:rsidRDefault="00EF4D47" w:rsidP="00AB4D08">
      <w:pPr>
        <w:numPr>
          <w:ilvl w:val="0"/>
          <w:numId w:val="49"/>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Cobro Pre jurídico: En esta etapa se encuentran los predios que presentan menos de seis meses en mora, que tienen opción de pago por cuotas o que aun cuando la han perdido, están próximos a ser enviados al cobro por jurisdicción coactiva.</w:t>
      </w:r>
    </w:p>
    <w:p w14:paraId="701A7396"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41D12A04" w14:textId="77777777" w:rsidR="00EF4D47" w:rsidRPr="00EF4D47" w:rsidRDefault="00EF4D47" w:rsidP="00AB4D08">
      <w:pPr>
        <w:numPr>
          <w:ilvl w:val="0"/>
          <w:numId w:val="47"/>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lastRenderedPageBreak/>
        <w:t>Cobro Coactivo: En esta etapa se encuentran los predios que han perdido la opción del pago por cuotas, y agotada la etapa pre jurídica, no han cancelado la deuda por concepto de valorización.</w:t>
      </w:r>
    </w:p>
    <w:p w14:paraId="1045C448"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5F87B60D"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Las estrategias principales que el IDU ha implementado para la recuperación de la cartera han sido:</w:t>
      </w:r>
    </w:p>
    <w:p w14:paraId="745FFDE4"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219C069F" w14:textId="77777777" w:rsidR="00EF4D47" w:rsidRPr="00EF4D47" w:rsidRDefault="00EF4D47" w:rsidP="00AB4D08">
      <w:pPr>
        <w:numPr>
          <w:ilvl w:val="0"/>
          <w:numId w:val="48"/>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Procesos de depuración y actualización de datos del predio, con base en la información sobre devoluciones efectuada por la empresa de correo y por el contribuyente, así como el cruce de información con las bases de datos de Catastro Distrital, Secretaría de Hacienda Distrital,  Oficinas de Notariado y Registro y Notarias.</w:t>
      </w:r>
    </w:p>
    <w:p w14:paraId="79B6BFB9"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72E624B9" w14:textId="77777777" w:rsidR="00EF4D47" w:rsidRPr="00EF4D47" w:rsidRDefault="00EF4D47" w:rsidP="00AB4D08">
      <w:pPr>
        <w:numPr>
          <w:ilvl w:val="0"/>
          <w:numId w:val="46"/>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 xml:space="preserve">Utilización de una amplia red bancaria para facilitar el pago de la obligación al contribuyente. Actualmente el IDU tiene convenio con los bancos Bogotá, Citibank, Occidente, Santander, </w:t>
      </w:r>
      <w:proofErr w:type="spellStart"/>
      <w:r w:rsidRPr="00EF4D47">
        <w:rPr>
          <w:rFonts w:ascii="Times New Roman" w:eastAsia="Arial" w:hAnsi="Times New Roman"/>
          <w:sz w:val="24"/>
          <w:szCs w:val="24"/>
        </w:rPr>
        <w:t>Helm</w:t>
      </w:r>
      <w:proofErr w:type="spellEnd"/>
      <w:r w:rsidRPr="00EF4D47">
        <w:rPr>
          <w:rFonts w:ascii="Times New Roman" w:eastAsia="Arial" w:hAnsi="Times New Roman"/>
          <w:sz w:val="24"/>
          <w:szCs w:val="24"/>
        </w:rPr>
        <w:t xml:space="preserve"> Bank, Colpatria, BBVA y Davivienda; adicionalmente facilita el recaudo en toda la red de cajeros </w:t>
      </w:r>
      <w:proofErr w:type="spellStart"/>
      <w:r w:rsidRPr="00EF4D47">
        <w:rPr>
          <w:rFonts w:ascii="Times New Roman" w:eastAsia="Arial" w:hAnsi="Times New Roman"/>
          <w:sz w:val="24"/>
          <w:szCs w:val="24"/>
        </w:rPr>
        <w:t>Servibanca</w:t>
      </w:r>
      <w:proofErr w:type="spellEnd"/>
      <w:r w:rsidRPr="00EF4D47">
        <w:rPr>
          <w:rFonts w:ascii="Times New Roman" w:eastAsia="Arial" w:hAnsi="Times New Roman"/>
          <w:sz w:val="24"/>
          <w:szCs w:val="24"/>
        </w:rPr>
        <w:t xml:space="preserve"> y ATH, así como pago por Internet a través de la página Web del IDU.</w:t>
      </w:r>
    </w:p>
    <w:p w14:paraId="021BCB9D"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7F5F09FE" w14:textId="77777777" w:rsidR="00EF4D47" w:rsidRPr="00EF4D47" w:rsidRDefault="00EF4D47" w:rsidP="00AB4D08">
      <w:pPr>
        <w:numPr>
          <w:ilvl w:val="0"/>
          <w:numId w:val="44"/>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Priorización de las acciones de cobro según la cuantía de la deuda.</w:t>
      </w:r>
    </w:p>
    <w:p w14:paraId="7C0F4BCF"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71DC42C0" w14:textId="77777777" w:rsidR="00EF4D47" w:rsidRPr="00EF4D47" w:rsidRDefault="00EF4D47" w:rsidP="00AB4D08">
      <w:pPr>
        <w:numPr>
          <w:ilvl w:val="0"/>
          <w:numId w:val="45"/>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Otorgamiento de facilidades y acuerdos de pago en las etapas de cobro pre jurídico y coactivo respectivamente, para los predios que se encuentran en mora, motivando al contribuyente a cancelar su deuda en cuotas mensuales.</w:t>
      </w:r>
    </w:p>
    <w:p w14:paraId="29F9B803" w14:textId="77777777" w:rsidR="00EF4D47" w:rsidRPr="00EF4D47" w:rsidRDefault="00EF4D47" w:rsidP="00AB4D08">
      <w:pPr>
        <w:spacing w:line="240" w:lineRule="auto"/>
        <w:ind w:left="567"/>
        <w:contextualSpacing/>
        <w:jc w:val="both"/>
        <w:rPr>
          <w:rFonts w:ascii="Times New Roman" w:eastAsia="Arial" w:hAnsi="Times New Roman"/>
          <w:sz w:val="24"/>
          <w:szCs w:val="24"/>
        </w:rPr>
      </w:pPr>
      <w:r w:rsidRPr="00EF4D47">
        <w:rPr>
          <w:rFonts w:ascii="Times New Roman" w:eastAsia="Arial" w:hAnsi="Times New Roman"/>
          <w:sz w:val="24"/>
          <w:szCs w:val="24"/>
        </w:rPr>
        <w:t xml:space="preserve"> </w:t>
      </w:r>
    </w:p>
    <w:p w14:paraId="6C151318" w14:textId="77777777" w:rsidR="00EF4D47" w:rsidRPr="00EF4D47" w:rsidRDefault="00EF4D47" w:rsidP="00AB4D08">
      <w:pPr>
        <w:numPr>
          <w:ilvl w:val="0"/>
          <w:numId w:val="45"/>
        </w:numPr>
        <w:spacing w:after="0" w:line="240" w:lineRule="auto"/>
        <w:ind w:left="567" w:firstLine="0"/>
        <w:contextualSpacing/>
        <w:jc w:val="both"/>
        <w:rPr>
          <w:rFonts w:ascii="Times New Roman" w:eastAsia="Arial" w:hAnsi="Times New Roman"/>
          <w:sz w:val="24"/>
          <w:szCs w:val="24"/>
        </w:rPr>
      </w:pPr>
      <w:r w:rsidRPr="00EF4D47">
        <w:rPr>
          <w:rFonts w:ascii="Times New Roman" w:eastAsia="Arial" w:hAnsi="Times New Roman"/>
          <w:sz w:val="24"/>
          <w:szCs w:val="24"/>
        </w:rPr>
        <w:t>Implementación de un plan de choque para atender las solicitudes de conceptos técnicos que resuelvan las dificultades presentadas en la gestión de cobro coactivo.</w:t>
      </w:r>
    </w:p>
    <w:p w14:paraId="7F8A6EE9" w14:textId="77777777" w:rsidR="00EF4D47" w:rsidRPr="00EF4D47" w:rsidRDefault="00EF4D47" w:rsidP="00AB4D08">
      <w:pPr>
        <w:numPr>
          <w:ilvl w:val="0"/>
          <w:numId w:val="45"/>
        </w:numPr>
        <w:spacing w:after="0" w:line="240" w:lineRule="auto"/>
        <w:ind w:left="567" w:firstLine="0"/>
        <w:contextualSpacing/>
        <w:jc w:val="both"/>
        <w:rPr>
          <w:rFonts w:ascii="Times New Roman" w:eastAsia="Arial" w:hAnsi="Times New Roman"/>
          <w:sz w:val="24"/>
          <w:szCs w:val="24"/>
        </w:rPr>
      </w:pPr>
    </w:p>
    <w:p w14:paraId="7F7B022C" w14:textId="7CCDCFC3" w:rsidR="00FC02F9" w:rsidRPr="00D82BE0" w:rsidRDefault="00EF4D47" w:rsidP="00AB4D08">
      <w:pPr>
        <w:spacing w:after="0" w:line="240" w:lineRule="auto"/>
        <w:ind w:left="567"/>
        <w:contextualSpacing/>
        <w:jc w:val="both"/>
        <w:rPr>
          <w:rFonts w:ascii="Times New Roman" w:hAnsi="Times New Roman"/>
          <w:sz w:val="24"/>
          <w:szCs w:val="24"/>
        </w:rPr>
      </w:pPr>
      <w:r w:rsidRPr="00EF4D47">
        <w:rPr>
          <w:rFonts w:ascii="Times New Roman" w:eastAsia="Arial" w:hAnsi="Times New Roman"/>
          <w:sz w:val="24"/>
          <w:szCs w:val="24"/>
        </w:rPr>
        <w:t>Dispo</w:t>
      </w:r>
      <w:r w:rsidRPr="00D82BE0">
        <w:rPr>
          <w:rFonts w:ascii="Times New Roman" w:eastAsia="Arial" w:hAnsi="Times New Roman"/>
          <w:sz w:val="24"/>
          <w:szCs w:val="24"/>
        </w:rPr>
        <w:t>sición de ventanillas de atención al contribuyente en la sede principal,  CADES y SUPERCADES, para suministrar información relacionada con los cobros de valorización.</w:t>
      </w:r>
    </w:p>
    <w:p w14:paraId="3F0A762F" w14:textId="77777777" w:rsidR="00FC02F9" w:rsidRPr="00D82BE0" w:rsidRDefault="00FC02F9" w:rsidP="00AB4D08">
      <w:pPr>
        <w:spacing w:after="0" w:line="240" w:lineRule="auto"/>
        <w:ind w:left="567"/>
        <w:contextualSpacing/>
        <w:jc w:val="both"/>
        <w:rPr>
          <w:rFonts w:ascii="Times New Roman" w:hAnsi="Times New Roman"/>
          <w:sz w:val="24"/>
          <w:szCs w:val="24"/>
        </w:rPr>
      </w:pPr>
    </w:p>
    <w:p w14:paraId="2ED8DF76"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Multas</w:t>
      </w:r>
    </w:p>
    <w:p w14:paraId="510174ED"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3FEF97BE"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Representa el valor, producto de la tasación pactada en los contratos e impuesta por las áreas técnicas por incumplimiento de las obligaciones contractuales, el procedimiento actual de imposición en el IDU, es el PR-GC-06 versión 7.0 declaratoria de incumplimiento contractual para la imposición de multa, cláusula penal , caducidad y/o afectación de la garantía de cumplimiento”, garantizando el debido proceso , por lo que del total del saldo a diciembre 31 de 2019 $3.663.412.222 el ( 84%) presenta recursos y se encuentran en lo contencioso administrativo – demanda procesos contractuales.</w:t>
      </w:r>
    </w:p>
    <w:p w14:paraId="659D2039"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57EA207E"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En cobro persuasivo $547.001.490 (representa 15%).</w:t>
      </w:r>
    </w:p>
    <w:p w14:paraId="4BED704B"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6EF9C403"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Estimación de deterioro Individual, teniendo en cuenta factores como la antigüedad de la deuda, se agotó el debido proceso en lo contencioso administrativo, sin bienes para embargar, acumulado a diciembre 31 de 2019, por valor de $33.320.000 (1%).</w:t>
      </w:r>
    </w:p>
    <w:p w14:paraId="2E1025B5"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lastRenderedPageBreak/>
        <w:t>Cartera vencida, no deteriorada $3.083.090.732</w:t>
      </w:r>
    </w:p>
    <w:p w14:paraId="15A07D4B"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48F36F4D"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En cumplimiento de la Resolución 245 de 2018, “Por medio de la cual se adopta el Plan de Sostenibilidad del Sistema Contable para el IDU, con el fin de garantizar la razonabilidad de las cifras reportadas al 100%, se realizaron cruces de información y conciliaciones de saldos mensuales por este concepto con la Dirección Técnica de Gestión Contractual.</w:t>
      </w:r>
    </w:p>
    <w:p w14:paraId="3E01BAA2" w14:textId="77777777" w:rsidR="00D82BE0" w:rsidRPr="00D82BE0" w:rsidRDefault="00D82BE0" w:rsidP="00AB4D08">
      <w:pPr>
        <w:spacing w:line="240" w:lineRule="auto"/>
        <w:ind w:left="567"/>
        <w:contextualSpacing/>
        <w:jc w:val="both"/>
        <w:rPr>
          <w:rFonts w:ascii="Times New Roman" w:eastAsia="Arial" w:hAnsi="Times New Roman"/>
          <w:sz w:val="24"/>
          <w:szCs w:val="24"/>
        </w:rPr>
      </w:pPr>
    </w:p>
    <w:p w14:paraId="6361B4A3"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Intereses</w:t>
      </w:r>
    </w:p>
    <w:p w14:paraId="365BBE9C"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78AC4800"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Representa el valor liquidado sobre el saldo de capital de la contribución por valorización que no se cancela de contado. La tasa de interés de financiación se toma de la máxima certificada por la Superintendencia Financiera de Colombia, el saldo a diciembre 31 de 2019 es por valor de $225.081.691.</w:t>
      </w:r>
    </w:p>
    <w:p w14:paraId="04532655"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05FD71EB" w14:textId="5DBEEA2D" w:rsidR="00D82BE0" w:rsidRPr="00D82BE0" w:rsidRDefault="00D82BE0" w:rsidP="00AB4D08">
      <w:pPr>
        <w:spacing w:after="0" w:line="240" w:lineRule="auto"/>
        <w:ind w:left="567"/>
        <w:contextualSpacing/>
        <w:jc w:val="both"/>
        <w:rPr>
          <w:rFonts w:ascii="Times New Roman" w:hAnsi="Times New Roman"/>
          <w:sz w:val="24"/>
          <w:szCs w:val="24"/>
        </w:rPr>
      </w:pPr>
      <w:r w:rsidRPr="00D82BE0">
        <w:rPr>
          <w:rFonts w:ascii="Times New Roman" w:eastAsia="Arial" w:hAnsi="Times New Roman"/>
          <w:sz w:val="24"/>
          <w:szCs w:val="24"/>
        </w:rPr>
        <w:t>La variación disminuyendo el saldo en la vigencia por $33.613.982, se justifica principalmente por:</w:t>
      </w:r>
    </w:p>
    <w:p w14:paraId="63C91A6B" w14:textId="77777777" w:rsidR="00D82BE0" w:rsidRDefault="00D82BE0" w:rsidP="00AB4D08">
      <w:pPr>
        <w:spacing w:after="0" w:line="240" w:lineRule="auto"/>
        <w:ind w:left="720"/>
        <w:contextualSpacing/>
        <w:jc w:val="both"/>
        <w:rPr>
          <w:rFonts w:ascii="Times New Roman" w:hAnsi="Times New Roman"/>
          <w:sz w:val="24"/>
          <w:szCs w:val="24"/>
        </w:rPr>
      </w:pPr>
    </w:p>
    <w:tbl>
      <w:tblPr>
        <w:tblpPr w:leftFromText="141" w:rightFromText="141" w:vertAnchor="text" w:horzAnchor="margin" w:tblpXSpec="center" w:tblpY="70"/>
        <w:tblW w:w="8060" w:type="dxa"/>
        <w:tblCellMar>
          <w:left w:w="70" w:type="dxa"/>
          <w:right w:w="70" w:type="dxa"/>
        </w:tblCellMar>
        <w:tblLook w:val="04A0" w:firstRow="1" w:lastRow="0" w:firstColumn="1" w:lastColumn="0" w:noHBand="0" w:noVBand="1"/>
      </w:tblPr>
      <w:tblGrid>
        <w:gridCol w:w="3160"/>
        <w:gridCol w:w="1580"/>
        <w:gridCol w:w="1580"/>
        <w:gridCol w:w="1740"/>
      </w:tblGrid>
      <w:tr w:rsidR="00E27D5B" w:rsidRPr="00E27D5B" w14:paraId="50871843" w14:textId="77777777" w:rsidTr="00E27D5B">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232060" w14:textId="77777777" w:rsidR="00E27D5B" w:rsidRPr="00E27D5B" w:rsidRDefault="00E27D5B" w:rsidP="00AB4D08">
            <w:pPr>
              <w:spacing w:after="0" w:line="240" w:lineRule="auto"/>
              <w:contextualSpacing/>
              <w:jc w:val="center"/>
              <w:rPr>
                <w:rFonts w:ascii="Times New Roman" w:eastAsia="Times New Roman" w:hAnsi="Times New Roman"/>
                <w:b/>
                <w:bCs/>
                <w:color w:val="000000"/>
                <w:lang w:eastAsia="es-CO"/>
              </w:rPr>
            </w:pPr>
            <w:r w:rsidRPr="00E27D5B">
              <w:rPr>
                <w:rFonts w:ascii="Times New Roman" w:eastAsia="Times New Roman" w:hAnsi="Times New Roman"/>
                <w:b/>
                <w:bCs/>
                <w:color w:val="000000"/>
                <w:lang w:eastAsia="es-CO"/>
              </w:rPr>
              <w:t>CONCEPTO</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299DE482" w14:textId="77777777" w:rsidR="00E27D5B" w:rsidRPr="00E27D5B" w:rsidRDefault="00E27D5B" w:rsidP="00AB4D08">
            <w:pPr>
              <w:spacing w:after="0" w:line="240" w:lineRule="auto"/>
              <w:contextualSpacing/>
              <w:jc w:val="center"/>
              <w:rPr>
                <w:rFonts w:ascii="Times New Roman" w:eastAsia="Times New Roman" w:hAnsi="Times New Roman"/>
                <w:b/>
                <w:bCs/>
                <w:color w:val="000000"/>
                <w:lang w:eastAsia="es-CO"/>
              </w:rPr>
            </w:pPr>
            <w:r w:rsidRPr="00E27D5B">
              <w:rPr>
                <w:rFonts w:ascii="Times New Roman" w:eastAsia="Times New Roman" w:hAnsi="Times New Roman"/>
                <w:b/>
                <w:bCs/>
                <w:color w:val="000000"/>
                <w:lang w:eastAsia="es-CO"/>
              </w:rPr>
              <w:t>2019</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29541CB4" w14:textId="77777777" w:rsidR="00E27D5B" w:rsidRPr="00E27D5B" w:rsidRDefault="00E27D5B" w:rsidP="00AB4D08">
            <w:pPr>
              <w:spacing w:after="0" w:line="240" w:lineRule="auto"/>
              <w:contextualSpacing/>
              <w:jc w:val="center"/>
              <w:rPr>
                <w:rFonts w:ascii="Times New Roman" w:eastAsia="Times New Roman" w:hAnsi="Times New Roman"/>
                <w:b/>
                <w:bCs/>
                <w:color w:val="000000"/>
                <w:lang w:eastAsia="es-CO"/>
              </w:rPr>
            </w:pPr>
            <w:r w:rsidRPr="00E27D5B">
              <w:rPr>
                <w:rFonts w:ascii="Times New Roman" w:eastAsia="Times New Roman" w:hAnsi="Times New Roman"/>
                <w:b/>
                <w:bCs/>
                <w:color w:val="000000"/>
                <w:lang w:eastAsia="es-CO"/>
              </w:rPr>
              <w:t>2018</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1ADDF830" w14:textId="77777777" w:rsidR="00E27D5B" w:rsidRPr="00E27D5B" w:rsidRDefault="00E27D5B" w:rsidP="00AB4D08">
            <w:pPr>
              <w:spacing w:after="0" w:line="240" w:lineRule="auto"/>
              <w:contextualSpacing/>
              <w:jc w:val="center"/>
              <w:rPr>
                <w:rFonts w:ascii="Times New Roman" w:eastAsia="Times New Roman" w:hAnsi="Times New Roman"/>
                <w:b/>
                <w:bCs/>
                <w:color w:val="000000"/>
                <w:lang w:eastAsia="es-CO"/>
              </w:rPr>
            </w:pPr>
            <w:r w:rsidRPr="00E27D5B">
              <w:rPr>
                <w:rFonts w:ascii="Times New Roman" w:eastAsia="Times New Roman" w:hAnsi="Times New Roman"/>
                <w:b/>
                <w:bCs/>
                <w:color w:val="000000"/>
                <w:lang w:eastAsia="es-CO"/>
              </w:rPr>
              <w:t>VARIACIÓN</w:t>
            </w:r>
          </w:p>
        </w:tc>
      </w:tr>
      <w:tr w:rsidR="00E27D5B" w:rsidRPr="00E27D5B" w14:paraId="16E9567E" w14:textId="77777777" w:rsidTr="00E27D5B">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9BA9F79" w14:textId="77777777" w:rsidR="00E27D5B" w:rsidRPr="00E27D5B" w:rsidRDefault="00E27D5B" w:rsidP="00AB4D08">
            <w:pPr>
              <w:spacing w:after="0" w:line="240" w:lineRule="auto"/>
              <w:contextualSpacing/>
              <w:rPr>
                <w:rFonts w:ascii="Times New Roman" w:eastAsia="Times New Roman" w:hAnsi="Times New Roman"/>
                <w:color w:val="000000"/>
                <w:lang w:eastAsia="es-CO"/>
              </w:rPr>
            </w:pPr>
            <w:r w:rsidRPr="00E27D5B">
              <w:rPr>
                <w:rFonts w:ascii="Times New Roman" w:eastAsia="Times New Roman" w:hAnsi="Times New Roman"/>
                <w:color w:val="000000"/>
                <w:lang w:eastAsia="es-CO"/>
              </w:rPr>
              <w:t>Intereses de financiación</w:t>
            </w:r>
          </w:p>
        </w:tc>
        <w:tc>
          <w:tcPr>
            <w:tcW w:w="1580" w:type="dxa"/>
            <w:tcBorders>
              <w:top w:val="nil"/>
              <w:left w:val="nil"/>
              <w:bottom w:val="single" w:sz="4" w:space="0" w:color="auto"/>
              <w:right w:val="single" w:sz="4" w:space="0" w:color="auto"/>
            </w:tcBorders>
            <w:shd w:val="clear" w:color="auto" w:fill="auto"/>
            <w:noWrap/>
            <w:vAlign w:val="center"/>
            <w:hideMark/>
          </w:tcPr>
          <w:p w14:paraId="3784DCB1" w14:textId="77777777" w:rsidR="00E27D5B" w:rsidRPr="00E27D5B" w:rsidRDefault="00E27D5B" w:rsidP="00AB4D08">
            <w:pPr>
              <w:spacing w:after="0" w:line="240" w:lineRule="auto"/>
              <w:contextualSpacing/>
              <w:rPr>
                <w:rFonts w:ascii="Times New Roman" w:eastAsia="Times New Roman" w:hAnsi="Times New Roman"/>
                <w:color w:val="000000"/>
                <w:lang w:eastAsia="es-CO"/>
              </w:rPr>
            </w:pPr>
            <w:r w:rsidRPr="00E27D5B">
              <w:rPr>
                <w:rFonts w:ascii="Times New Roman" w:eastAsia="Times New Roman" w:hAnsi="Times New Roman"/>
                <w:color w:val="000000"/>
                <w:lang w:eastAsia="es-CO"/>
              </w:rPr>
              <w:t xml:space="preserve">      225.081.691 </w:t>
            </w:r>
          </w:p>
        </w:tc>
        <w:tc>
          <w:tcPr>
            <w:tcW w:w="1580" w:type="dxa"/>
            <w:tcBorders>
              <w:top w:val="nil"/>
              <w:left w:val="nil"/>
              <w:bottom w:val="single" w:sz="4" w:space="0" w:color="auto"/>
              <w:right w:val="single" w:sz="4" w:space="0" w:color="auto"/>
            </w:tcBorders>
            <w:shd w:val="clear" w:color="auto" w:fill="auto"/>
            <w:noWrap/>
            <w:vAlign w:val="center"/>
            <w:hideMark/>
          </w:tcPr>
          <w:p w14:paraId="7F13562D" w14:textId="77777777" w:rsidR="00E27D5B" w:rsidRPr="00E27D5B" w:rsidRDefault="00E27D5B" w:rsidP="00AB4D08">
            <w:pPr>
              <w:spacing w:after="0" w:line="240" w:lineRule="auto"/>
              <w:contextualSpacing/>
              <w:rPr>
                <w:rFonts w:ascii="Times New Roman" w:eastAsia="Times New Roman" w:hAnsi="Times New Roman"/>
                <w:color w:val="000000"/>
                <w:lang w:eastAsia="es-CO"/>
              </w:rPr>
            </w:pPr>
            <w:r w:rsidRPr="00E27D5B">
              <w:rPr>
                <w:rFonts w:ascii="Times New Roman" w:eastAsia="Times New Roman" w:hAnsi="Times New Roman"/>
                <w:color w:val="000000"/>
                <w:lang w:eastAsia="es-CO"/>
              </w:rPr>
              <w:t xml:space="preserve">      258.695.673 </w:t>
            </w:r>
          </w:p>
        </w:tc>
        <w:tc>
          <w:tcPr>
            <w:tcW w:w="1740" w:type="dxa"/>
            <w:tcBorders>
              <w:top w:val="nil"/>
              <w:left w:val="nil"/>
              <w:bottom w:val="single" w:sz="4" w:space="0" w:color="auto"/>
              <w:right w:val="single" w:sz="4" w:space="0" w:color="auto"/>
            </w:tcBorders>
            <w:shd w:val="clear" w:color="auto" w:fill="auto"/>
            <w:noWrap/>
            <w:vAlign w:val="center"/>
            <w:hideMark/>
          </w:tcPr>
          <w:p w14:paraId="23DE016C" w14:textId="77777777" w:rsidR="00E27D5B" w:rsidRPr="00E27D5B" w:rsidRDefault="00E27D5B" w:rsidP="00AB4D08">
            <w:pPr>
              <w:spacing w:after="0" w:line="240" w:lineRule="auto"/>
              <w:contextualSpacing/>
              <w:rPr>
                <w:rFonts w:ascii="Times New Roman" w:eastAsia="Times New Roman" w:hAnsi="Times New Roman"/>
                <w:color w:val="000000"/>
                <w:lang w:eastAsia="es-CO"/>
              </w:rPr>
            </w:pPr>
            <w:r w:rsidRPr="00E27D5B">
              <w:rPr>
                <w:rFonts w:ascii="Times New Roman" w:eastAsia="Times New Roman" w:hAnsi="Times New Roman"/>
                <w:color w:val="000000"/>
                <w:lang w:eastAsia="es-CO"/>
              </w:rPr>
              <w:t xml:space="preserve">-         33.613.982 </w:t>
            </w:r>
          </w:p>
        </w:tc>
      </w:tr>
    </w:tbl>
    <w:p w14:paraId="509D59EA" w14:textId="77777777" w:rsidR="00E27D5B" w:rsidRDefault="00E27D5B" w:rsidP="00AB4D08">
      <w:pPr>
        <w:spacing w:after="0" w:line="240" w:lineRule="auto"/>
        <w:ind w:left="720"/>
        <w:contextualSpacing/>
        <w:jc w:val="both"/>
        <w:rPr>
          <w:rFonts w:ascii="Times New Roman" w:hAnsi="Times New Roman"/>
          <w:sz w:val="24"/>
          <w:szCs w:val="24"/>
        </w:rPr>
      </w:pPr>
    </w:p>
    <w:p w14:paraId="3F8F4E88" w14:textId="77777777" w:rsidR="00E27D5B" w:rsidRDefault="00E27D5B" w:rsidP="00AB4D08">
      <w:pPr>
        <w:spacing w:after="0" w:line="240" w:lineRule="auto"/>
        <w:ind w:left="720"/>
        <w:contextualSpacing/>
        <w:jc w:val="both"/>
        <w:rPr>
          <w:rFonts w:ascii="Times New Roman" w:hAnsi="Times New Roman"/>
          <w:sz w:val="24"/>
          <w:szCs w:val="24"/>
        </w:rPr>
      </w:pPr>
    </w:p>
    <w:p w14:paraId="77C4A027" w14:textId="77777777" w:rsidR="00E27D5B" w:rsidRDefault="00E27D5B" w:rsidP="00AB4D08">
      <w:pPr>
        <w:spacing w:after="0" w:line="240" w:lineRule="auto"/>
        <w:ind w:left="720"/>
        <w:contextualSpacing/>
        <w:jc w:val="both"/>
        <w:rPr>
          <w:rFonts w:ascii="Times New Roman" w:hAnsi="Times New Roman"/>
          <w:sz w:val="24"/>
          <w:szCs w:val="24"/>
        </w:rPr>
      </w:pPr>
    </w:p>
    <w:p w14:paraId="56EE4BE9" w14:textId="77777777" w:rsidR="00E27D5B" w:rsidRDefault="00E27D5B" w:rsidP="00AB4D08">
      <w:pPr>
        <w:spacing w:after="0" w:line="240" w:lineRule="auto"/>
        <w:ind w:left="720"/>
        <w:contextualSpacing/>
        <w:jc w:val="both"/>
        <w:rPr>
          <w:rFonts w:ascii="Times New Roman" w:hAnsi="Times New Roman"/>
          <w:sz w:val="24"/>
          <w:szCs w:val="24"/>
        </w:rPr>
      </w:pPr>
    </w:p>
    <w:p w14:paraId="7D19C2ED" w14:textId="2AE1CC5F" w:rsidR="00D82BE0" w:rsidRPr="00D82BE0" w:rsidRDefault="00D82BE0" w:rsidP="00AB4D08">
      <w:pPr>
        <w:numPr>
          <w:ilvl w:val="0"/>
          <w:numId w:val="50"/>
        </w:numPr>
        <w:spacing w:after="0" w:line="240" w:lineRule="auto"/>
        <w:ind w:left="567" w:firstLine="0"/>
        <w:contextualSpacing/>
        <w:jc w:val="both"/>
        <w:rPr>
          <w:rFonts w:ascii="Times New Roman" w:eastAsia="Arial" w:hAnsi="Times New Roman"/>
          <w:sz w:val="24"/>
          <w:szCs w:val="24"/>
        </w:rPr>
      </w:pPr>
      <w:r w:rsidRPr="00D82BE0">
        <w:rPr>
          <w:rFonts w:ascii="Times New Roman" w:eastAsia="Arial" w:hAnsi="Times New Roman"/>
          <w:sz w:val="24"/>
          <w:szCs w:val="24"/>
        </w:rPr>
        <w:t>Aumento por causación de intereses de la vigencia por $37.500.071</w:t>
      </w:r>
      <w:r w:rsidR="00B13ACE">
        <w:rPr>
          <w:rFonts w:ascii="Times New Roman" w:eastAsia="Arial" w:hAnsi="Times New Roman"/>
          <w:sz w:val="24"/>
          <w:szCs w:val="24"/>
        </w:rPr>
        <w:t>.</w:t>
      </w:r>
    </w:p>
    <w:p w14:paraId="6058026B"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2B61BAAF" w14:textId="77777777" w:rsidR="00D82BE0" w:rsidRPr="00D82BE0" w:rsidRDefault="00D82BE0" w:rsidP="00AB4D08">
      <w:pPr>
        <w:numPr>
          <w:ilvl w:val="0"/>
          <w:numId w:val="51"/>
        </w:numPr>
        <w:spacing w:after="0" w:line="240" w:lineRule="auto"/>
        <w:ind w:left="567" w:firstLine="0"/>
        <w:contextualSpacing/>
        <w:jc w:val="both"/>
        <w:rPr>
          <w:rFonts w:ascii="Times New Roman" w:eastAsia="Arial" w:hAnsi="Times New Roman"/>
          <w:sz w:val="24"/>
          <w:szCs w:val="24"/>
        </w:rPr>
      </w:pPr>
      <w:r w:rsidRPr="00D82BE0">
        <w:rPr>
          <w:rFonts w:ascii="Times New Roman" w:eastAsia="Arial" w:hAnsi="Times New Roman"/>
          <w:sz w:val="24"/>
          <w:szCs w:val="24"/>
        </w:rPr>
        <w:t>Recaudado en la vigencia $35.938.511, en aplicación del plan de gestión de cartera para la vigencia 2019, lo que permitió el seguimiento y cumplimiento a las metas de recaudo de la cartera relacionada con la contribución de valorización, para este caso en intereses de financiación.</w:t>
      </w:r>
    </w:p>
    <w:p w14:paraId="5F43900F"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3DFA6A0A" w14:textId="77777777" w:rsidR="00D82BE0" w:rsidRPr="00D82BE0" w:rsidRDefault="00D82BE0" w:rsidP="00AB4D08">
      <w:pPr>
        <w:numPr>
          <w:ilvl w:val="0"/>
          <w:numId w:val="53"/>
        </w:numPr>
        <w:spacing w:after="0" w:line="240" w:lineRule="auto"/>
        <w:ind w:left="567" w:firstLine="0"/>
        <w:contextualSpacing/>
        <w:jc w:val="both"/>
        <w:rPr>
          <w:rFonts w:ascii="Times New Roman" w:eastAsia="Arial" w:hAnsi="Times New Roman"/>
          <w:sz w:val="24"/>
          <w:szCs w:val="24"/>
        </w:rPr>
      </w:pPr>
      <w:r w:rsidRPr="00D82BE0">
        <w:rPr>
          <w:rFonts w:ascii="Times New Roman" w:eastAsia="Arial" w:hAnsi="Times New Roman"/>
          <w:sz w:val="24"/>
          <w:szCs w:val="24"/>
        </w:rPr>
        <w:t>Ajuste saldos por resolución procesos de reclamación menos $34.494.775.</w:t>
      </w:r>
    </w:p>
    <w:p w14:paraId="4AC2CC43" w14:textId="77777777" w:rsidR="00D82BE0" w:rsidRDefault="00D82BE0" w:rsidP="00AB4D08">
      <w:pPr>
        <w:spacing w:line="240" w:lineRule="auto"/>
        <w:ind w:left="567"/>
        <w:contextualSpacing/>
        <w:jc w:val="both"/>
        <w:rPr>
          <w:rFonts w:ascii="Times New Roman" w:eastAsia="Arial" w:hAnsi="Times New Roman"/>
          <w:sz w:val="24"/>
          <w:szCs w:val="24"/>
        </w:rPr>
      </w:pPr>
    </w:p>
    <w:p w14:paraId="2E22FCE2" w14:textId="5CAE00E0"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Cartera vencida no deteriorada por un monto de $12</w:t>
      </w:r>
      <w:r>
        <w:rPr>
          <w:rFonts w:ascii="Times New Roman" w:eastAsia="Arial" w:hAnsi="Times New Roman"/>
          <w:sz w:val="24"/>
          <w:szCs w:val="24"/>
        </w:rPr>
        <w:t>.</w:t>
      </w:r>
      <w:r w:rsidRPr="00D82BE0">
        <w:rPr>
          <w:rFonts w:ascii="Times New Roman" w:eastAsia="Arial" w:hAnsi="Times New Roman"/>
          <w:sz w:val="24"/>
          <w:szCs w:val="24"/>
        </w:rPr>
        <w:t>787</w:t>
      </w:r>
      <w:r>
        <w:rPr>
          <w:rFonts w:ascii="Times New Roman" w:eastAsia="Arial" w:hAnsi="Times New Roman"/>
          <w:sz w:val="24"/>
          <w:szCs w:val="24"/>
        </w:rPr>
        <w:t>.</w:t>
      </w:r>
      <w:r w:rsidRPr="00D82BE0">
        <w:rPr>
          <w:rFonts w:ascii="Times New Roman" w:eastAsia="Arial" w:hAnsi="Times New Roman"/>
          <w:sz w:val="24"/>
          <w:szCs w:val="24"/>
        </w:rPr>
        <w:t>616</w:t>
      </w:r>
      <w:r w:rsidR="00164D08">
        <w:rPr>
          <w:rFonts w:ascii="Times New Roman" w:eastAsia="Arial" w:hAnsi="Times New Roman"/>
          <w:sz w:val="24"/>
          <w:szCs w:val="24"/>
        </w:rPr>
        <w:t>.</w:t>
      </w:r>
    </w:p>
    <w:p w14:paraId="0F4C3C14"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7AA973CC" w14:textId="77777777" w:rsidR="00D82BE0" w:rsidRPr="00D82BE0" w:rsidRDefault="00D82BE0" w:rsidP="00AB4D08">
      <w:pPr>
        <w:numPr>
          <w:ilvl w:val="0"/>
          <w:numId w:val="52"/>
        </w:numPr>
        <w:spacing w:after="0" w:line="240" w:lineRule="auto"/>
        <w:ind w:left="567" w:firstLine="0"/>
        <w:contextualSpacing/>
        <w:jc w:val="both"/>
        <w:rPr>
          <w:rFonts w:ascii="Times New Roman" w:eastAsia="Arial" w:hAnsi="Times New Roman"/>
          <w:sz w:val="24"/>
          <w:szCs w:val="24"/>
        </w:rPr>
      </w:pPr>
      <w:r w:rsidRPr="00D82BE0">
        <w:rPr>
          <w:rFonts w:ascii="Times New Roman" w:eastAsia="Arial" w:hAnsi="Times New Roman"/>
          <w:sz w:val="24"/>
          <w:szCs w:val="24"/>
        </w:rPr>
        <w:t>En cumplimiento de la Resolución 245 de 2018, “Por medio de la cual se adopta el Plan de Sostenibilidad del Sistema Contable para el IDU, con el fin de garantizar la razonabilidad de las cifras reportadas al 100%, se realizó cruce de información con la Dirección Técnica de Apoyo a la valorización, Subdirección Técnica Jurídica y de Ejecuciones Fiscales y la Subdirección Técnica de Operaciones.</w:t>
      </w:r>
    </w:p>
    <w:p w14:paraId="51CC6393" w14:textId="77777777" w:rsidR="00D82BE0" w:rsidRDefault="00D82BE0" w:rsidP="00AB4D08">
      <w:pPr>
        <w:spacing w:line="240" w:lineRule="auto"/>
        <w:ind w:left="567"/>
        <w:contextualSpacing/>
        <w:jc w:val="both"/>
        <w:rPr>
          <w:rFonts w:ascii="Times New Roman" w:eastAsia="Arial" w:hAnsi="Times New Roman"/>
          <w:sz w:val="24"/>
          <w:szCs w:val="24"/>
        </w:rPr>
      </w:pPr>
    </w:p>
    <w:p w14:paraId="38C42087" w14:textId="77777777" w:rsidR="00044FC1" w:rsidRDefault="00044FC1" w:rsidP="00AB4D08">
      <w:pPr>
        <w:spacing w:line="240" w:lineRule="auto"/>
        <w:ind w:left="567"/>
        <w:contextualSpacing/>
        <w:jc w:val="both"/>
        <w:rPr>
          <w:rFonts w:ascii="Times New Roman" w:eastAsia="Arial" w:hAnsi="Times New Roman"/>
          <w:sz w:val="24"/>
          <w:szCs w:val="24"/>
        </w:rPr>
      </w:pPr>
    </w:p>
    <w:p w14:paraId="5720B661" w14:textId="77777777" w:rsidR="00044FC1" w:rsidRDefault="00044FC1" w:rsidP="00AB4D08">
      <w:pPr>
        <w:spacing w:line="240" w:lineRule="auto"/>
        <w:ind w:left="567"/>
        <w:contextualSpacing/>
        <w:jc w:val="both"/>
        <w:rPr>
          <w:rFonts w:ascii="Times New Roman" w:eastAsia="Arial" w:hAnsi="Times New Roman"/>
          <w:sz w:val="24"/>
          <w:szCs w:val="24"/>
        </w:rPr>
      </w:pPr>
    </w:p>
    <w:p w14:paraId="1D019130" w14:textId="77777777" w:rsidR="00044FC1" w:rsidRDefault="00044FC1" w:rsidP="00AB4D08">
      <w:pPr>
        <w:spacing w:line="240" w:lineRule="auto"/>
        <w:ind w:left="567"/>
        <w:contextualSpacing/>
        <w:jc w:val="both"/>
        <w:rPr>
          <w:rFonts w:ascii="Times New Roman" w:eastAsia="Arial" w:hAnsi="Times New Roman"/>
          <w:sz w:val="24"/>
          <w:szCs w:val="24"/>
        </w:rPr>
      </w:pPr>
    </w:p>
    <w:p w14:paraId="602BB221" w14:textId="77777777" w:rsidR="00044FC1" w:rsidRDefault="00044FC1" w:rsidP="00AB4D08">
      <w:pPr>
        <w:spacing w:line="240" w:lineRule="auto"/>
        <w:ind w:left="567"/>
        <w:contextualSpacing/>
        <w:jc w:val="both"/>
        <w:rPr>
          <w:rFonts w:ascii="Times New Roman" w:eastAsia="Arial" w:hAnsi="Times New Roman"/>
          <w:sz w:val="24"/>
          <w:szCs w:val="24"/>
        </w:rPr>
      </w:pPr>
    </w:p>
    <w:p w14:paraId="075D9813" w14:textId="77777777" w:rsidR="00044FC1" w:rsidRDefault="00044FC1" w:rsidP="00AB4D08">
      <w:pPr>
        <w:spacing w:line="240" w:lineRule="auto"/>
        <w:ind w:left="567"/>
        <w:contextualSpacing/>
        <w:jc w:val="both"/>
        <w:rPr>
          <w:rFonts w:ascii="Times New Roman" w:eastAsia="Arial" w:hAnsi="Times New Roman"/>
          <w:sz w:val="24"/>
          <w:szCs w:val="24"/>
        </w:rPr>
      </w:pPr>
    </w:p>
    <w:p w14:paraId="2C9FBC96" w14:textId="77777777" w:rsidR="00044FC1" w:rsidRPr="00D82BE0" w:rsidRDefault="00044FC1" w:rsidP="00AB4D08">
      <w:pPr>
        <w:spacing w:line="240" w:lineRule="auto"/>
        <w:ind w:left="567"/>
        <w:contextualSpacing/>
        <w:jc w:val="both"/>
        <w:rPr>
          <w:rFonts w:ascii="Times New Roman" w:eastAsia="Arial" w:hAnsi="Times New Roman"/>
          <w:sz w:val="24"/>
          <w:szCs w:val="24"/>
        </w:rPr>
      </w:pPr>
    </w:p>
    <w:p w14:paraId="239567B6"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lastRenderedPageBreak/>
        <w:t>Sanciones</w:t>
      </w:r>
    </w:p>
    <w:p w14:paraId="35B865F1" w14:textId="77777777" w:rsidR="00D82BE0" w:rsidRPr="00D82BE0" w:rsidRDefault="00D82BE0" w:rsidP="00AB4D08">
      <w:pPr>
        <w:spacing w:line="240" w:lineRule="auto"/>
        <w:ind w:left="567"/>
        <w:contextualSpacing/>
        <w:jc w:val="both"/>
        <w:rPr>
          <w:rFonts w:ascii="Times New Roman" w:eastAsia="Arial" w:hAnsi="Times New Roman"/>
          <w:sz w:val="24"/>
          <w:szCs w:val="24"/>
        </w:rPr>
      </w:pPr>
      <w:r w:rsidRPr="00D82BE0">
        <w:rPr>
          <w:rFonts w:ascii="Times New Roman" w:eastAsia="Arial" w:hAnsi="Times New Roman"/>
          <w:sz w:val="24"/>
          <w:szCs w:val="24"/>
        </w:rPr>
        <w:t xml:space="preserve"> </w:t>
      </w:r>
    </w:p>
    <w:p w14:paraId="7E13E90F" w14:textId="7E2BAA8F" w:rsidR="00D82BE0" w:rsidRPr="00D82BE0" w:rsidRDefault="00D82BE0" w:rsidP="00AB4D08">
      <w:pPr>
        <w:spacing w:after="0" w:line="240" w:lineRule="auto"/>
        <w:ind w:left="567"/>
        <w:contextualSpacing/>
        <w:jc w:val="both"/>
        <w:rPr>
          <w:rFonts w:ascii="Times New Roman" w:hAnsi="Times New Roman"/>
          <w:sz w:val="24"/>
          <w:szCs w:val="24"/>
        </w:rPr>
      </w:pPr>
      <w:r w:rsidRPr="00D82BE0">
        <w:rPr>
          <w:rFonts w:ascii="Times New Roman" w:eastAsia="Arial" w:hAnsi="Times New Roman"/>
          <w:sz w:val="24"/>
          <w:szCs w:val="24"/>
        </w:rPr>
        <w:t>El monto a diciembre 31 de 2019 asciende a $174.794.088.</w:t>
      </w:r>
    </w:p>
    <w:p w14:paraId="5CE0E10E" w14:textId="77777777" w:rsidR="00D82BE0" w:rsidRDefault="00D82BE0" w:rsidP="00AB4D08">
      <w:pPr>
        <w:spacing w:after="0" w:line="240" w:lineRule="auto"/>
        <w:ind w:left="720"/>
        <w:contextualSpacing/>
        <w:jc w:val="both"/>
        <w:rPr>
          <w:rFonts w:ascii="Times New Roman" w:hAnsi="Times New Roman"/>
          <w:sz w:val="24"/>
          <w:szCs w:val="24"/>
        </w:rPr>
      </w:pPr>
    </w:p>
    <w:p w14:paraId="565B0701" w14:textId="377282F8" w:rsidR="00DD0E89" w:rsidRDefault="00DD0E89" w:rsidP="00AB4D08">
      <w:pPr>
        <w:spacing w:after="0" w:line="240" w:lineRule="auto"/>
        <w:ind w:left="720"/>
        <w:contextualSpacing/>
        <w:jc w:val="both"/>
        <w:rPr>
          <w:rFonts w:ascii="Times New Roman" w:hAnsi="Times New Roman"/>
          <w:sz w:val="24"/>
          <w:szCs w:val="24"/>
        </w:rPr>
      </w:pPr>
      <w:r>
        <w:rPr>
          <w:noProof/>
          <w:lang w:eastAsia="es-CO"/>
        </w:rPr>
        <w:drawing>
          <wp:inline distT="0" distB="0" distL="0" distR="0" wp14:anchorId="3F17370A" wp14:editId="78A75764">
            <wp:extent cx="5172075" cy="58102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2075" cy="581025"/>
                    </a:xfrm>
                    <a:prstGeom prst="rect">
                      <a:avLst/>
                    </a:prstGeom>
                  </pic:spPr>
                </pic:pic>
              </a:graphicData>
            </a:graphic>
          </wp:inline>
        </w:drawing>
      </w:r>
    </w:p>
    <w:p w14:paraId="72D08B04" w14:textId="77777777" w:rsidR="00D82BE0" w:rsidRPr="006F0118" w:rsidRDefault="00D82BE0" w:rsidP="00AB4D08">
      <w:pPr>
        <w:spacing w:after="0" w:line="240" w:lineRule="auto"/>
        <w:ind w:left="567"/>
        <w:contextualSpacing/>
        <w:jc w:val="both"/>
        <w:rPr>
          <w:rFonts w:ascii="Times New Roman" w:hAnsi="Times New Roman"/>
          <w:sz w:val="24"/>
          <w:szCs w:val="24"/>
        </w:rPr>
      </w:pPr>
    </w:p>
    <w:p w14:paraId="60EC3F23" w14:textId="77777777" w:rsidR="006F0118" w:rsidRPr="006F0118" w:rsidRDefault="006F0118" w:rsidP="00AB4D08">
      <w:pPr>
        <w:spacing w:line="240" w:lineRule="auto"/>
        <w:ind w:left="567"/>
        <w:contextualSpacing/>
        <w:jc w:val="both"/>
        <w:rPr>
          <w:rFonts w:ascii="Times New Roman" w:eastAsia="Arial" w:hAnsi="Times New Roman"/>
          <w:sz w:val="24"/>
          <w:szCs w:val="24"/>
        </w:rPr>
      </w:pPr>
      <w:r w:rsidRPr="006F0118">
        <w:rPr>
          <w:rFonts w:ascii="Times New Roman" w:eastAsia="Arial" w:hAnsi="Times New Roman"/>
          <w:sz w:val="24"/>
          <w:szCs w:val="24"/>
        </w:rPr>
        <w:t>La variación que disminuye el saldo de la cuenta se justifica:</w:t>
      </w:r>
    </w:p>
    <w:p w14:paraId="623EFAA7" w14:textId="77777777" w:rsidR="006F0118" w:rsidRPr="006F0118" w:rsidRDefault="006F0118" w:rsidP="00AB4D08">
      <w:pPr>
        <w:spacing w:line="240" w:lineRule="auto"/>
        <w:ind w:left="567"/>
        <w:contextualSpacing/>
        <w:jc w:val="both"/>
        <w:rPr>
          <w:rFonts w:ascii="Times New Roman" w:eastAsia="Arial" w:hAnsi="Times New Roman"/>
          <w:sz w:val="24"/>
          <w:szCs w:val="24"/>
        </w:rPr>
      </w:pPr>
    </w:p>
    <w:p w14:paraId="2522C9D0" w14:textId="6CDF006E" w:rsidR="006F0118" w:rsidRPr="006F0118" w:rsidRDefault="006F0118" w:rsidP="00AB4D08">
      <w:pPr>
        <w:spacing w:line="240" w:lineRule="auto"/>
        <w:ind w:left="567"/>
        <w:contextualSpacing/>
        <w:jc w:val="both"/>
        <w:rPr>
          <w:rFonts w:ascii="Times New Roman" w:eastAsia="Arial" w:hAnsi="Times New Roman"/>
          <w:sz w:val="24"/>
          <w:szCs w:val="24"/>
        </w:rPr>
      </w:pPr>
      <w:r w:rsidRPr="006F0118">
        <w:rPr>
          <w:rFonts w:ascii="Times New Roman" w:eastAsia="Arial" w:hAnsi="Times New Roman"/>
          <w:sz w:val="24"/>
          <w:szCs w:val="24"/>
        </w:rPr>
        <w:t>Depuración contable por compensación de saldos $141.016.037</w:t>
      </w:r>
    </w:p>
    <w:p w14:paraId="42A4EEAE" w14:textId="45A3F40B" w:rsidR="006F0118" w:rsidRPr="006F0118" w:rsidRDefault="006F0118" w:rsidP="00AB4D08">
      <w:pPr>
        <w:spacing w:line="240" w:lineRule="auto"/>
        <w:ind w:left="567"/>
        <w:contextualSpacing/>
        <w:jc w:val="both"/>
        <w:rPr>
          <w:rFonts w:ascii="Times New Roman" w:eastAsia="Arial" w:hAnsi="Times New Roman"/>
          <w:sz w:val="24"/>
          <w:szCs w:val="24"/>
        </w:rPr>
      </w:pPr>
      <w:r w:rsidRPr="006F0118">
        <w:rPr>
          <w:rFonts w:ascii="Times New Roman" w:eastAsia="Arial" w:hAnsi="Times New Roman"/>
          <w:sz w:val="24"/>
          <w:szCs w:val="24"/>
        </w:rPr>
        <w:t xml:space="preserve">Depuración contable, Resolución 4710 de septiembre 5 de 2019 </w:t>
      </w:r>
      <w:r>
        <w:rPr>
          <w:rFonts w:ascii="Times New Roman" w:eastAsia="Arial" w:hAnsi="Times New Roman"/>
          <w:sz w:val="24"/>
          <w:szCs w:val="24"/>
        </w:rPr>
        <w:t>$</w:t>
      </w:r>
      <w:r w:rsidRPr="006F0118">
        <w:rPr>
          <w:rFonts w:ascii="Times New Roman" w:eastAsia="Arial" w:hAnsi="Times New Roman"/>
          <w:sz w:val="24"/>
          <w:szCs w:val="24"/>
        </w:rPr>
        <w:t xml:space="preserve">29.814.000 </w:t>
      </w:r>
    </w:p>
    <w:p w14:paraId="4C6552F1" w14:textId="77777777" w:rsidR="006F0118" w:rsidRPr="006F0118" w:rsidRDefault="006F0118" w:rsidP="00AB4D08">
      <w:pPr>
        <w:spacing w:line="240" w:lineRule="auto"/>
        <w:ind w:left="567"/>
        <w:contextualSpacing/>
        <w:jc w:val="both"/>
        <w:rPr>
          <w:rFonts w:ascii="Times New Roman" w:eastAsia="Arial" w:hAnsi="Times New Roman"/>
          <w:sz w:val="24"/>
          <w:szCs w:val="24"/>
        </w:rPr>
      </w:pPr>
    </w:p>
    <w:p w14:paraId="45721A9B" w14:textId="662BB733" w:rsidR="00D82BE0" w:rsidRDefault="006F0118" w:rsidP="00AB4D08">
      <w:pPr>
        <w:spacing w:after="0" w:line="240" w:lineRule="auto"/>
        <w:ind w:left="567"/>
        <w:contextualSpacing/>
        <w:jc w:val="both"/>
        <w:rPr>
          <w:rFonts w:ascii="Times New Roman" w:eastAsia="Arial" w:hAnsi="Times New Roman"/>
          <w:sz w:val="24"/>
          <w:szCs w:val="24"/>
        </w:rPr>
      </w:pPr>
      <w:r w:rsidRPr="006F0118">
        <w:rPr>
          <w:rFonts w:ascii="Times New Roman" w:eastAsia="Arial" w:hAnsi="Times New Roman"/>
          <w:sz w:val="24"/>
          <w:szCs w:val="24"/>
        </w:rPr>
        <w:t>La cartera por este concepto, según la gestión de cobro realizada, se encuentra en las siguientes etapas:</w:t>
      </w:r>
    </w:p>
    <w:p w14:paraId="271F717B" w14:textId="77777777" w:rsidR="00B13ACE" w:rsidRDefault="00B13ACE" w:rsidP="00AB4D08">
      <w:pPr>
        <w:spacing w:after="0" w:line="240" w:lineRule="auto"/>
        <w:ind w:left="567"/>
        <w:contextualSpacing/>
        <w:jc w:val="both"/>
        <w:rPr>
          <w:rFonts w:ascii="Times New Roman" w:eastAsia="Arial" w:hAnsi="Times New Roman"/>
          <w:sz w:val="24"/>
          <w:szCs w:val="24"/>
        </w:rPr>
      </w:pPr>
    </w:p>
    <w:p w14:paraId="7C513A8C" w14:textId="50D575B4" w:rsidR="00B13ACE" w:rsidRDefault="00291B9D" w:rsidP="00AB4D08">
      <w:pPr>
        <w:spacing w:after="0" w:line="240" w:lineRule="auto"/>
        <w:ind w:left="567"/>
        <w:contextualSpacing/>
        <w:jc w:val="both"/>
        <w:rPr>
          <w:rFonts w:ascii="Times New Roman" w:eastAsia="Arial" w:hAnsi="Times New Roman"/>
          <w:sz w:val="24"/>
          <w:szCs w:val="24"/>
        </w:rPr>
      </w:pPr>
      <w:r w:rsidRPr="00291B9D">
        <w:rPr>
          <w:noProof/>
          <w:lang w:eastAsia="es-CO"/>
        </w:rPr>
        <w:drawing>
          <wp:inline distT="0" distB="0" distL="0" distR="0" wp14:anchorId="2574E2AA" wp14:editId="0516A570">
            <wp:extent cx="3638550" cy="10096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1009650"/>
                    </a:xfrm>
                    <a:prstGeom prst="rect">
                      <a:avLst/>
                    </a:prstGeom>
                    <a:noFill/>
                    <a:ln>
                      <a:noFill/>
                    </a:ln>
                  </pic:spPr>
                </pic:pic>
              </a:graphicData>
            </a:graphic>
          </wp:inline>
        </w:drawing>
      </w:r>
    </w:p>
    <w:p w14:paraId="32BD74C7" w14:textId="77777777" w:rsidR="000C4809" w:rsidRDefault="000C4809" w:rsidP="00AB4D08">
      <w:pPr>
        <w:spacing w:after="0" w:line="240" w:lineRule="auto"/>
        <w:ind w:left="567"/>
        <w:contextualSpacing/>
        <w:jc w:val="both"/>
        <w:rPr>
          <w:rFonts w:ascii="Times New Roman" w:hAnsi="Times New Roman"/>
          <w:sz w:val="24"/>
          <w:szCs w:val="24"/>
        </w:rPr>
      </w:pPr>
    </w:p>
    <w:p w14:paraId="554E20CD"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Indemnizaciones</w:t>
      </w:r>
    </w:p>
    <w:p w14:paraId="46FE2EAB" w14:textId="77777777" w:rsidR="0020609D" w:rsidRDefault="0020609D" w:rsidP="00AB4D08">
      <w:pPr>
        <w:spacing w:line="240" w:lineRule="auto"/>
        <w:ind w:left="567"/>
        <w:contextualSpacing/>
        <w:jc w:val="both"/>
        <w:rPr>
          <w:rFonts w:ascii="Times New Roman" w:eastAsia="Arial" w:hAnsi="Times New Roman"/>
          <w:b/>
          <w:sz w:val="24"/>
          <w:szCs w:val="24"/>
        </w:rPr>
      </w:pPr>
    </w:p>
    <w:p w14:paraId="7A229223" w14:textId="451EBB24"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Representa el valor consecuencia de daños y perjuicios causados por incumplimientos de terceros, haciendo efectivas las garantías de estabilidad de obra y por cláusulas penales, el saldo a diciembre 31 de 2019 es por valor de $26.708.304.296 del cual el 75% presenta recursos jurídicos y se encuentran en procesos judiciales.</w:t>
      </w:r>
    </w:p>
    <w:p w14:paraId="1B4D361D"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 xml:space="preserve"> </w:t>
      </w:r>
    </w:p>
    <w:p w14:paraId="7C21B180"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Estimación de deterioro Individual, teniendo en cuenta factores como la antigüedad de la deuda, se agotó el debido proceso en lo contencioso administrativo, sin bienes para embargar, acumulado a diciembre 31 de 2019 por valor de $22.954.411, (representa, menos del 1% del total de esta cuenta).</w:t>
      </w:r>
    </w:p>
    <w:p w14:paraId="708E88B5" w14:textId="663F8729" w:rsidR="00B13ACE"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 xml:space="preserve"> </w:t>
      </w:r>
    </w:p>
    <w:p w14:paraId="21859D73"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La variación incremental de la cuenta con respecto a la vigencia anterior de $3.162.380.376 se justifica en:</w:t>
      </w:r>
    </w:p>
    <w:p w14:paraId="22B55E47" w14:textId="52F29BE5" w:rsidR="000C4809" w:rsidRPr="00462FCF" w:rsidRDefault="00C265CA" w:rsidP="00AB4D08">
      <w:pPr>
        <w:spacing w:after="0" w:line="240" w:lineRule="auto"/>
        <w:ind w:left="720"/>
        <w:contextualSpacing/>
        <w:jc w:val="both"/>
      </w:pPr>
      <w:r>
        <w:rPr>
          <w:rFonts w:ascii="Times New Roman" w:hAnsi="Times New Roman"/>
          <w:sz w:val="24"/>
          <w:szCs w:val="24"/>
        </w:rPr>
        <w:t xml:space="preserve">           </w:t>
      </w:r>
      <w:r w:rsidR="00DD0E89">
        <w:rPr>
          <w:noProof/>
          <w:lang w:eastAsia="es-CO"/>
        </w:rPr>
        <w:drawing>
          <wp:inline distT="0" distB="0" distL="0" distR="0" wp14:anchorId="40538CC3" wp14:editId="604BF63F">
            <wp:extent cx="5229225" cy="6191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9225" cy="619125"/>
                    </a:xfrm>
                    <a:prstGeom prst="rect">
                      <a:avLst/>
                    </a:prstGeom>
                  </pic:spPr>
                </pic:pic>
              </a:graphicData>
            </a:graphic>
          </wp:inline>
        </w:drawing>
      </w:r>
    </w:p>
    <w:p w14:paraId="5B9C953D" w14:textId="77777777" w:rsidR="006F0118" w:rsidRDefault="006F0118" w:rsidP="00AB4D08">
      <w:pPr>
        <w:spacing w:after="0" w:line="240" w:lineRule="auto"/>
        <w:ind w:left="720"/>
        <w:contextualSpacing/>
        <w:jc w:val="both"/>
        <w:rPr>
          <w:rFonts w:ascii="Times New Roman" w:hAnsi="Times New Roman"/>
          <w:sz w:val="24"/>
          <w:szCs w:val="24"/>
        </w:rPr>
      </w:pPr>
    </w:p>
    <w:p w14:paraId="1D0663FF" w14:textId="77777777" w:rsidR="0020609D" w:rsidRPr="0020609D" w:rsidRDefault="0020609D" w:rsidP="00AB4D08">
      <w:pPr>
        <w:pStyle w:val="Prrafodelista"/>
        <w:numPr>
          <w:ilvl w:val="0"/>
          <w:numId w:val="52"/>
        </w:numPr>
        <w:spacing w:after="0" w:line="240" w:lineRule="auto"/>
        <w:ind w:left="567" w:firstLine="0"/>
        <w:jc w:val="both"/>
        <w:rPr>
          <w:rFonts w:ascii="Times New Roman" w:eastAsia="Arial" w:hAnsi="Times New Roman"/>
          <w:sz w:val="24"/>
          <w:szCs w:val="24"/>
          <w:lang w:eastAsia="zh-CN" w:bidi="hi-IN"/>
        </w:rPr>
      </w:pPr>
      <w:r w:rsidRPr="0020609D">
        <w:rPr>
          <w:rFonts w:ascii="Times New Roman" w:eastAsia="Arial" w:hAnsi="Times New Roman"/>
          <w:sz w:val="24"/>
          <w:szCs w:val="24"/>
          <w:lang w:eastAsia="zh-CN" w:bidi="hi-IN"/>
        </w:rPr>
        <w:t>Incremento de $3.788.737.760 por el registro de actos administrativos, en los cuales se hace efectiva la garantía por cláusulas penal y de estabilidad de obras.</w:t>
      </w:r>
    </w:p>
    <w:p w14:paraId="1936F605"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 xml:space="preserve"> </w:t>
      </w:r>
    </w:p>
    <w:p w14:paraId="6C88E31F" w14:textId="77777777" w:rsidR="0020609D" w:rsidRPr="0020609D" w:rsidRDefault="0020609D" w:rsidP="00AB4D08">
      <w:pPr>
        <w:numPr>
          <w:ilvl w:val="0"/>
          <w:numId w:val="54"/>
        </w:numPr>
        <w:spacing w:after="0" w:line="240" w:lineRule="auto"/>
        <w:ind w:left="567" w:firstLine="0"/>
        <w:contextualSpacing/>
        <w:jc w:val="both"/>
        <w:rPr>
          <w:rFonts w:ascii="Times New Roman" w:eastAsia="Arial" w:hAnsi="Times New Roman"/>
          <w:sz w:val="24"/>
          <w:szCs w:val="24"/>
        </w:rPr>
      </w:pPr>
      <w:r w:rsidRPr="0020609D">
        <w:rPr>
          <w:rFonts w:ascii="Times New Roman" w:eastAsia="Arial" w:hAnsi="Times New Roman"/>
          <w:sz w:val="24"/>
          <w:szCs w:val="24"/>
        </w:rPr>
        <w:lastRenderedPageBreak/>
        <w:t>Disminución por recaudos registrados en la tesorería de la entidad por un monto de $626.357.384.</w:t>
      </w:r>
    </w:p>
    <w:p w14:paraId="5A7E1D23"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 xml:space="preserve"> </w:t>
      </w:r>
    </w:p>
    <w:p w14:paraId="3330B1BD" w14:textId="77777777" w:rsid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La cartera por este concepto, según la gestión de cobro realizada, se encuentra en las siguientes etapas:</w:t>
      </w:r>
    </w:p>
    <w:p w14:paraId="7FC6E541" w14:textId="77777777" w:rsidR="00291B9D" w:rsidRDefault="00291B9D" w:rsidP="00AB4D08">
      <w:pPr>
        <w:spacing w:line="240" w:lineRule="auto"/>
        <w:ind w:left="567"/>
        <w:contextualSpacing/>
        <w:jc w:val="both"/>
        <w:rPr>
          <w:rFonts w:ascii="Times New Roman" w:eastAsia="Arial" w:hAnsi="Times New Roman"/>
          <w:sz w:val="24"/>
          <w:szCs w:val="24"/>
        </w:rPr>
      </w:pPr>
    </w:p>
    <w:p w14:paraId="4D949258" w14:textId="6EA9B663" w:rsidR="00DD0E89" w:rsidRDefault="00291B9D" w:rsidP="00AB4D08">
      <w:pPr>
        <w:spacing w:line="240" w:lineRule="auto"/>
        <w:ind w:left="567"/>
        <w:contextualSpacing/>
        <w:jc w:val="both"/>
        <w:rPr>
          <w:rFonts w:ascii="Times New Roman" w:eastAsia="Arial" w:hAnsi="Times New Roman"/>
          <w:sz w:val="24"/>
          <w:szCs w:val="24"/>
        </w:rPr>
      </w:pPr>
      <w:r w:rsidRPr="00291B9D">
        <w:rPr>
          <w:noProof/>
          <w:lang w:eastAsia="es-CO"/>
        </w:rPr>
        <w:drawing>
          <wp:inline distT="0" distB="0" distL="0" distR="0" wp14:anchorId="6538FCE2" wp14:editId="21B317ED">
            <wp:extent cx="3638550" cy="100965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1009650"/>
                    </a:xfrm>
                    <a:prstGeom prst="rect">
                      <a:avLst/>
                    </a:prstGeom>
                    <a:noFill/>
                    <a:ln>
                      <a:noFill/>
                    </a:ln>
                  </pic:spPr>
                </pic:pic>
              </a:graphicData>
            </a:graphic>
          </wp:inline>
        </w:drawing>
      </w:r>
    </w:p>
    <w:p w14:paraId="3EB06C63" w14:textId="77777777" w:rsidR="00291B9D" w:rsidRDefault="00291B9D" w:rsidP="00AB4D08">
      <w:pPr>
        <w:spacing w:line="240" w:lineRule="auto"/>
        <w:ind w:left="567"/>
        <w:contextualSpacing/>
        <w:jc w:val="both"/>
        <w:rPr>
          <w:rFonts w:ascii="Times New Roman" w:eastAsia="Arial" w:hAnsi="Times New Roman"/>
          <w:sz w:val="24"/>
          <w:szCs w:val="24"/>
        </w:rPr>
      </w:pPr>
    </w:p>
    <w:p w14:paraId="1EBDA78E" w14:textId="67E4D3C4" w:rsidR="0020609D" w:rsidRPr="005416A4" w:rsidRDefault="0020609D" w:rsidP="00AB4D08">
      <w:pPr>
        <w:pStyle w:val="Ttulo2"/>
        <w:numPr>
          <w:ilvl w:val="1"/>
          <w:numId w:val="25"/>
        </w:numPr>
        <w:spacing w:line="240" w:lineRule="auto"/>
        <w:ind w:left="567" w:hanging="567"/>
        <w:contextualSpacing/>
        <w:rPr>
          <w:rFonts w:cs="Times New Roman"/>
          <w:szCs w:val="24"/>
        </w:rPr>
      </w:pPr>
      <w:bookmarkStart w:id="38" w:name="_Toc32317253"/>
      <w:r>
        <w:rPr>
          <w:rFonts w:cs="Times New Roman"/>
          <w:szCs w:val="24"/>
        </w:rPr>
        <w:t>Otros deudores varios</w:t>
      </w:r>
      <w:bookmarkEnd w:id="38"/>
    </w:p>
    <w:p w14:paraId="1709613E" w14:textId="77777777" w:rsidR="0020609D" w:rsidRDefault="0020609D" w:rsidP="00AB4D08">
      <w:pPr>
        <w:spacing w:line="240" w:lineRule="auto"/>
        <w:contextualSpacing/>
        <w:jc w:val="both"/>
        <w:rPr>
          <w:rFonts w:ascii="Arial" w:eastAsia="Arial" w:hAnsi="Arial" w:cs="Arial"/>
          <w:b/>
        </w:rPr>
      </w:pPr>
    </w:p>
    <w:p w14:paraId="33348B2E" w14:textId="77777777" w:rsidR="0020609D" w:rsidRPr="0020609D" w:rsidRDefault="0020609D" w:rsidP="00AB4D08">
      <w:pPr>
        <w:spacing w:line="240" w:lineRule="auto"/>
        <w:ind w:left="567"/>
        <w:contextualSpacing/>
        <w:jc w:val="both"/>
        <w:rPr>
          <w:rFonts w:ascii="Times New Roman" w:eastAsia="Arial" w:hAnsi="Times New Roman"/>
          <w:sz w:val="24"/>
          <w:szCs w:val="24"/>
        </w:rPr>
      </w:pPr>
      <w:r w:rsidRPr="0020609D">
        <w:rPr>
          <w:rFonts w:ascii="Times New Roman" w:eastAsia="Arial" w:hAnsi="Times New Roman"/>
          <w:sz w:val="24"/>
          <w:szCs w:val="24"/>
        </w:rPr>
        <w:t>El saldo por $569.256.400, corresponde a Resolución 3249 de 2007, por medio de la cual se realizó la liquidación unilateral del contrato IDU-070-2004, suscrito con el Consorcio Nueva Era, actualmente existe demanda, ante lo contencioso Administrativo, proceso 2008-00312.</w:t>
      </w:r>
    </w:p>
    <w:p w14:paraId="4AC068D4" w14:textId="020CEB69" w:rsidR="00206E2B" w:rsidRDefault="00206E2B" w:rsidP="00AB4D08">
      <w:pPr>
        <w:spacing w:after="0" w:line="240" w:lineRule="auto"/>
        <w:contextualSpacing/>
        <w:jc w:val="both"/>
        <w:rPr>
          <w:rFonts w:ascii="Times New Roman" w:hAnsi="Times New Roman"/>
          <w:b/>
          <w:sz w:val="24"/>
          <w:szCs w:val="24"/>
        </w:rPr>
      </w:pPr>
    </w:p>
    <w:p w14:paraId="4327F6C1" w14:textId="25F192C6" w:rsidR="00C818D4" w:rsidRPr="00E82C69" w:rsidRDefault="00E82C69" w:rsidP="00AB4D08">
      <w:pPr>
        <w:pStyle w:val="Ttulo2"/>
        <w:numPr>
          <w:ilvl w:val="1"/>
          <w:numId w:val="25"/>
        </w:numPr>
        <w:spacing w:line="240" w:lineRule="auto"/>
        <w:ind w:left="567" w:hanging="567"/>
        <w:contextualSpacing/>
        <w:rPr>
          <w:rFonts w:cs="Times New Roman"/>
          <w:szCs w:val="24"/>
        </w:rPr>
      </w:pPr>
      <w:bookmarkStart w:id="39" w:name="_Toc32317254"/>
      <w:r>
        <w:rPr>
          <w:rFonts w:cs="Times New Roman"/>
          <w:szCs w:val="24"/>
        </w:rPr>
        <w:t>Cuentas por cobrar vencidas no deterioradas</w:t>
      </w:r>
      <w:bookmarkEnd w:id="39"/>
    </w:p>
    <w:p w14:paraId="4DD07931" w14:textId="77777777" w:rsidR="002D3554" w:rsidRPr="002D3554" w:rsidRDefault="002D3554" w:rsidP="00AB4D08">
      <w:pPr>
        <w:spacing w:after="0" w:line="240" w:lineRule="auto"/>
        <w:ind w:left="567"/>
        <w:contextualSpacing/>
        <w:jc w:val="both"/>
        <w:rPr>
          <w:rFonts w:ascii="Times New Roman" w:hAnsi="Times New Roman"/>
          <w:sz w:val="24"/>
          <w:szCs w:val="24"/>
        </w:rPr>
      </w:pPr>
    </w:p>
    <w:p w14:paraId="2083A50F" w14:textId="77777777" w:rsidR="002D3554" w:rsidRPr="002D3554" w:rsidRDefault="002D3554" w:rsidP="00AB4D08">
      <w:pPr>
        <w:spacing w:line="240" w:lineRule="auto"/>
        <w:ind w:left="567"/>
        <w:contextualSpacing/>
        <w:jc w:val="both"/>
        <w:rPr>
          <w:rFonts w:ascii="Times New Roman" w:eastAsia="Arial" w:hAnsi="Times New Roman"/>
          <w:sz w:val="24"/>
          <w:szCs w:val="24"/>
        </w:rPr>
      </w:pPr>
      <w:r w:rsidRPr="002D3554">
        <w:rPr>
          <w:rFonts w:ascii="Times New Roman" w:eastAsia="Arial" w:hAnsi="Times New Roman"/>
          <w:sz w:val="24"/>
          <w:szCs w:val="24"/>
        </w:rPr>
        <w:t xml:space="preserve">La Subdirección Técnica Jurídica y de ejecuciones fiscales, administra una cartera activa, pendiente de que se resuelvan recursos de reclamación y se atienden solicitudes de concepto técnico, lo que se refleja como cartera vencida de valorización no deteriorada a diciembre 31 de 2019 por la suma $2.394.369.665 distribuida por su antigüedad de la siguiente manera: </w:t>
      </w:r>
    </w:p>
    <w:p w14:paraId="51C61C13" w14:textId="77777777" w:rsidR="002D3554" w:rsidRDefault="002D3554" w:rsidP="00AB4D08">
      <w:pPr>
        <w:spacing w:after="0" w:line="240" w:lineRule="auto"/>
        <w:contextualSpacing/>
        <w:jc w:val="both"/>
        <w:rPr>
          <w:rFonts w:ascii="Times New Roman" w:hAnsi="Times New Roman"/>
          <w:sz w:val="24"/>
          <w:szCs w:val="24"/>
        </w:rPr>
      </w:pPr>
    </w:p>
    <w:p w14:paraId="638AC983" w14:textId="45DBF0DD" w:rsidR="002D3554" w:rsidRDefault="00DD0E89" w:rsidP="00AB4D08">
      <w:pPr>
        <w:spacing w:after="0" w:line="240" w:lineRule="auto"/>
        <w:contextualSpacing/>
        <w:jc w:val="both"/>
        <w:rPr>
          <w:rFonts w:ascii="Times New Roman" w:hAnsi="Times New Roman"/>
          <w:sz w:val="24"/>
          <w:szCs w:val="24"/>
        </w:rPr>
      </w:pPr>
      <w:r>
        <w:rPr>
          <w:noProof/>
          <w:lang w:eastAsia="es-CO"/>
        </w:rPr>
        <w:drawing>
          <wp:inline distT="0" distB="0" distL="0" distR="0" wp14:anchorId="21B43696" wp14:editId="33D04F0B">
            <wp:extent cx="5791835" cy="2570480"/>
            <wp:effectExtent l="0" t="0" r="0" b="12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2570480"/>
                    </a:xfrm>
                    <a:prstGeom prst="rect">
                      <a:avLst/>
                    </a:prstGeom>
                  </pic:spPr>
                </pic:pic>
              </a:graphicData>
            </a:graphic>
          </wp:inline>
        </w:drawing>
      </w:r>
    </w:p>
    <w:p w14:paraId="1C9AE817" w14:textId="40991AC0" w:rsidR="00C818D4" w:rsidRPr="005416A4" w:rsidRDefault="00C818D4" w:rsidP="00AB4D08">
      <w:pPr>
        <w:spacing w:after="0" w:line="240" w:lineRule="auto"/>
        <w:contextualSpacing/>
        <w:jc w:val="center"/>
        <w:rPr>
          <w:rFonts w:ascii="Times New Roman" w:hAnsi="Times New Roman"/>
          <w:sz w:val="24"/>
          <w:szCs w:val="24"/>
        </w:rPr>
      </w:pPr>
    </w:p>
    <w:p w14:paraId="5CCEF96A" w14:textId="77777777" w:rsidR="00040407" w:rsidRDefault="00040407" w:rsidP="00AB4D08">
      <w:pPr>
        <w:spacing w:after="0" w:line="240" w:lineRule="auto"/>
        <w:contextualSpacing/>
        <w:jc w:val="both"/>
        <w:rPr>
          <w:rFonts w:ascii="Times New Roman" w:hAnsi="Times New Roman"/>
          <w:sz w:val="24"/>
          <w:szCs w:val="24"/>
        </w:rPr>
      </w:pPr>
    </w:p>
    <w:p w14:paraId="2DC56455" w14:textId="4EEB2DDF" w:rsidR="00E969C6" w:rsidRPr="00E82C69" w:rsidRDefault="00E969C6" w:rsidP="00AB4D08">
      <w:pPr>
        <w:pStyle w:val="Ttulo2"/>
        <w:numPr>
          <w:ilvl w:val="1"/>
          <w:numId w:val="25"/>
        </w:numPr>
        <w:spacing w:line="240" w:lineRule="auto"/>
        <w:ind w:left="567" w:hanging="567"/>
        <w:contextualSpacing/>
        <w:rPr>
          <w:rFonts w:cs="Times New Roman"/>
          <w:szCs w:val="24"/>
        </w:rPr>
      </w:pPr>
      <w:bookmarkStart w:id="40" w:name="_Toc32317255"/>
      <w:r>
        <w:rPr>
          <w:rFonts w:cs="Times New Roman"/>
          <w:szCs w:val="24"/>
        </w:rPr>
        <w:lastRenderedPageBreak/>
        <w:t>Cargas urbanísticas</w:t>
      </w:r>
      <w:bookmarkEnd w:id="40"/>
    </w:p>
    <w:p w14:paraId="0FFB0A8A" w14:textId="77777777" w:rsidR="000B50A3" w:rsidRDefault="000B50A3" w:rsidP="00AB4D08">
      <w:pPr>
        <w:spacing w:after="0" w:line="240" w:lineRule="auto"/>
        <w:ind w:left="567"/>
        <w:contextualSpacing/>
        <w:jc w:val="both"/>
        <w:rPr>
          <w:rFonts w:ascii="Times New Roman" w:eastAsia="Arial" w:hAnsi="Times New Roman"/>
          <w:sz w:val="24"/>
          <w:szCs w:val="24"/>
        </w:rPr>
      </w:pPr>
    </w:p>
    <w:tbl>
      <w:tblPr>
        <w:tblW w:w="8665" w:type="dxa"/>
        <w:tblInd w:w="445" w:type="dxa"/>
        <w:tblCellMar>
          <w:left w:w="70" w:type="dxa"/>
          <w:right w:w="70" w:type="dxa"/>
        </w:tblCellMar>
        <w:tblLook w:val="04A0" w:firstRow="1" w:lastRow="0" w:firstColumn="1" w:lastColumn="0" w:noHBand="0" w:noVBand="1"/>
      </w:tblPr>
      <w:tblGrid>
        <w:gridCol w:w="4140"/>
        <w:gridCol w:w="1770"/>
        <w:gridCol w:w="1770"/>
        <w:gridCol w:w="985"/>
      </w:tblGrid>
      <w:tr w:rsidR="000B50A3" w:rsidRPr="000B50A3" w14:paraId="7735C4A7" w14:textId="77777777" w:rsidTr="000B50A3">
        <w:trPr>
          <w:trHeight w:val="255"/>
        </w:trPr>
        <w:tc>
          <w:tcPr>
            <w:tcW w:w="41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BE2347" w14:textId="77777777" w:rsidR="000B50A3" w:rsidRPr="000B50A3" w:rsidRDefault="000B50A3" w:rsidP="00AB4D08">
            <w:pPr>
              <w:spacing w:after="0" w:line="240" w:lineRule="auto"/>
              <w:contextualSpacing/>
              <w:jc w:val="center"/>
              <w:rPr>
                <w:rFonts w:ascii="Times New Roman" w:eastAsia="Times New Roman" w:hAnsi="Times New Roman"/>
                <w:b/>
                <w:bCs/>
                <w:color w:val="000000"/>
                <w:sz w:val="20"/>
                <w:szCs w:val="20"/>
                <w:lang w:eastAsia="es-CO"/>
              </w:rPr>
            </w:pPr>
            <w:r w:rsidRPr="000B50A3">
              <w:rPr>
                <w:rFonts w:ascii="Times New Roman" w:eastAsia="Times New Roman" w:hAnsi="Times New Roman"/>
                <w:b/>
                <w:bCs/>
                <w:color w:val="000000"/>
                <w:sz w:val="20"/>
                <w:szCs w:val="20"/>
                <w:lang w:eastAsia="es-CO"/>
              </w:rPr>
              <w:t>Detalle</w:t>
            </w:r>
          </w:p>
        </w:tc>
        <w:tc>
          <w:tcPr>
            <w:tcW w:w="452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E5C5500" w14:textId="77777777" w:rsidR="000B50A3" w:rsidRPr="000B50A3" w:rsidRDefault="000B50A3" w:rsidP="00AB4D08">
            <w:pPr>
              <w:spacing w:after="0" w:line="240" w:lineRule="auto"/>
              <w:contextualSpacing/>
              <w:jc w:val="center"/>
              <w:rPr>
                <w:rFonts w:ascii="Times New Roman" w:eastAsia="Times New Roman" w:hAnsi="Times New Roman"/>
                <w:b/>
                <w:bCs/>
                <w:color w:val="000000"/>
                <w:sz w:val="20"/>
                <w:szCs w:val="20"/>
                <w:lang w:eastAsia="es-CO"/>
              </w:rPr>
            </w:pPr>
            <w:r w:rsidRPr="000B50A3">
              <w:rPr>
                <w:rFonts w:ascii="Times New Roman" w:eastAsia="Times New Roman" w:hAnsi="Times New Roman"/>
                <w:b/>
                <w:bCs/>
                <w:color w:val="000000"/>
                <w:sz w:val="20"/>
                <w:szCs w:val="20"/>
                <w:lang w:eastAsia="es-CO"/>
              </w:rPr>
              <w:t>Saldos comparativos</w:t>
            </w:r>
          </w:p>
        </w:tc>
      </w:tr>
      <w:tr w:rsidR="000B50A3" w:rsidRPr="000B50A3" w14:paraId="54125EFE" w14:textId="77777777" w:rsidTr="000B50A3">
        <w:trPr>
          <w:trHeight w:val="255"/>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64C62AD5" w14:textId="77777777" w:rsidR="000B50A3" w:rsidRPr="000B50A3" w:rsidRDefault="000B50A3" w:rsidP="00AB4D08">
            <w:pPr>
              <w:spacing w:after="0" w:line="240" w:lineRule="auto"/>
              <w:contextualSpacing/>
              <w:rPr>
                <w:rFonts w:ascii="Times New Roman" w:eastAsia="Times New Roman" w:hAnsi="Times New Roman"/>
                <w:b/>
                <w:bCs/>
                <w:color w:val="000000"/>
                <w:sz w:val="20"/>
                <w:szCs w:val="20"/>
                <w:lang w:eastAsia="es-CO"/>
              </w:rPr>
            </w:pPr>
          </w:p>
        </w:tc>
        <w:tc>
          <w:tcPr>
            <w:tcW w:w="1770" w:type="dxa"/>
            <w:tcBorders>
              <w:top w:val="nil"/>
              <w:left w:val="nil"/>
              <w:bottom w:val="single" w:sz="4" w:space="0" w:color="auto"/>
              <w:right w:val="single" w:sz="4" w:space="0" w:color="auto"/>
            </w:tcBorders>
            <w:shd w:val="clear" w:color="000000" w:fill="D9D9D9"/>
            <w:noWrap/>
            <w:vAlign w:val="center"/>
            <w:hideMark/>
          </w:tcPr>
          <w:p w14:paraId="21662A70" w14:textId="77777777" w:rsidR="000B50A3" w:rsidRPr="000B50A3" w:rsidRDefault="000B50A3" w:rsidP="00AB4D08">
            <w:pPr>
              <w:spacing w:after="0" w:line="240" w:lineRule="auto"/>
              <w:contextualSpacing/>
              <w:jc w:val="center"/>
              <w:rPr>
                <w:rFonts w:ascii="Times New Roman" w:eastAsia="Times New Roman" w:hAnsi="Times New Roman"/>
                <w:b/>
                <w:bCs/>
                <w:color w:val="000000"/>
                <w:sz w:val="20"/>
                <w:szCs w:val="20"/>
                <w:lang w:eastAsia="es-CO"/>
              </w:rPr>
            </w:pPr>
            <w:r w:rsidRPr="000B50A3">
              <w:rPr>
                <w:rFonts w:ascii="Times New Roman" w:eastAsia="Times New Roman" w:hAnsi="Times New Roman"/>
                <w:b/>
                <w:bCs/>
                <w:color w:val="000000"/>
                <w:sz w:val="20"/>
                <w:szCs w:val="20"/>
                <w:lang w:eastAsia="es-CO"/>
              </w:rPr>
              <w:t>2019</w:t>
            </w:r>
          </w:p>
        </w:tc>
        <w:tc>
          <w:tcPr>
            <w:tcW w:w="1770" w:type="dxa"/>
            <w:tcBorders>
              <w:top w:val="nil"/>
              <w:left w:val="nil"/>
              <w:bottom w:val="single" w:sz="4" w:space="0" w:color="auto"/>
              <w:right w:val="single" w:sz="4" w:space="0" w:color="auto"/>
            </w:tcBorders>
            <w:shd w:val="clear" w:color="000000" w:fill="D9D9D9"/>
            <w:noWrap/>
            <w:vAlign w:val="center"/>
            <w:hideMark/>
          </w:tcPr>
          <w:p w14:paraId="6776C43B" w14:textId="77777777" w:rsidR="000B50A3" w:rsidRPr="000B50A3" w:rsidRDefault="000B50A3" w:rsidP="00AB4D08">
            <w:pPr>
              <w:spacing w:after="0" w:line="240" w:lineRule="auto"/>
              <w:contextualSpacing/>
              <w:jc w:val="center"/>
              <w:rPr>
                <w:rFonts w:ascii="Times New Roman" w:eastAsia="Times New Roman" w:hAnsi="Times New Roman"/>
                <w:b/>
                <w:bCs/>
                <w:color w:val="000000"/>
                <w:sz w:val="20"/>
                <w:szCs w:val="20"/>
                <w:lang w:eastAsia="es-CO"/>
              </w:rPr>
            </w:pPr>
            <w:r w:rsidRPr="000B50A3">
              <w:rPr>
                <w:rFonts w:ascii="Times New Roman" w:eastAsia="Times New Roman" w:hAnsi="Times New Roman"/>
                <w:b/>
                <w:bCs/>
                <w:color w:val="000000"/>
                <w:sz w:val="20"/>
                <w:szCs w:val="20"/>
                <w:lang w:eastAsia="es-CO"/>
              </w:rPr>
              <w:t>2018</w:t>
            </w:r>
          </w:p>
        </w:tc>
        <w:tc>
          <w:tcPr>
            <w:tcW w:w="985" w:type="dxa"/>
            <w:tcBorders>
              <w:top w:val="nil"/>
              <w:left w:val="nil"/>
              <w:bottom w:val="single" w:sz="4" w:space="0" w:color="auto"/>
              <w:right w:val="single" w:sz="4" w:space="0" w:color="auto"/>
            </w:tcBorders>
            <w:shd w:val="clear" w:color="000000" w:fill="D9D9D9"/>
            <w:noWrap/>
            <w:vAlign w:val="center"/>
            <w:hideMark/>
          </w:tcPr>
          <w:p w14:paraId="5252F874" w14:textId="461B4755" w:rsidR="000B50A3" w:rsidRPr="000B50A3" w:rsidRDefault="000B50A3" w:rsidP="00AB4D08">
            <w:pPr>
              <w:spacing w:after="0" w:line="240" w:lineRule="auto"/>
              <w:contextualSpacing/>
              <w:jc w:val="center"/>
              <w:rPr>
                <w:rFonts w:ascii="Times New Roman" w:eastAsia="Times New Roman" w:hAnsi="Times New Roman"/>
                <w:b/>
                <w:bCs/>
                <w:color w:val="000000"/>
                <w:sz w:val="20"/>
                <w:szCs w:val="20"/>
                <w:lang w:eastAsia="es-CO"/>
              </w:rPr>
            </w:pPr>
            <w:r w:rsidRPr="000B50A3">
              <w:rPr>
                <w:rFonts w:ascii="Times New Roman" w:eastAsia="Times New Roman" w:hAnsi="Times New Roman"/>
                <w:b/>
                <w:bCs/>
                <w:color w:val="000000"/>
                <w:sz w:val="20"/>
                <w:szCs w:val="20"/>
                <w:lang w:eastAsia="es-CO"/>
              </w:rPr>
              <w:t>Variación</w:t>
            </w:r>
          </w:p>
        </w:tc>
      </w:tr>
      <w:tr w:rsidR="000B50A3" w:rsidRPr="000B50A3" w14:paraId="0A5273A0" w14:textId="77777777" w:rsidTr="000B50A3">
        <w:trPr>
          <w:trHeight w:val="510"/>
        </w:trPr>
        <w:tc>
          <w:tcPr>
            <w:tcW w:w="4140" w:type="dxa"/>
            <w:tcBorders>
              <w:top w:val="nil"/>
              <w:left w:val="single" w:sz="4" w:space="0" w:color="auto"/>
              <w:bottom w:val="single" w:sz="4" w:space="0" w:color="auto"/>
              <w:right w:val="nil"/>
            </w:tcBorders>
            <w:shd w:val="clear" w:color="auto" w:fill="auto"/>
            <w:vAlign w:val="center"/>
            <w:hideMark/>
          </w:tcPr>
          <w:p w14:paraId="5FD322D8" w14:textId="31DEB190" w:rsidR="000B50A3" w:rsidRPr="000B50A3" w:rsidRDefault="000B50A3" w:rsidP="00AB4D08">
            <w:pPr>
              <w:spacing w:after="0" w:line="240" w:lineRule="auto"/>
              <w:contextualSpacing/>
              <w:rPr>
                <w:rFonts w:ascii="Times New Roman" w:eastAsia="Times New Roman" w:hAnsi="Times New Roman"/>
                <w:color w:val="000000"/>
                <w:sz w:val="20"/>
                <w:szCs w:val="20"/>
                <w:lang w:eastAsia="es-CO"/>
              </w:rPr>
            </w:pPr>
            <w:r w:rsidRPr="000B50A3">
              <w:rPr>
                <w:rFonts w:ascii="Times New Roman" w:eastAsia="Times New Roman" w:hAnsi="Times New Roman"/>
                <w:color w:val="000000"/>
                <w:sz w:val="20"/>
                <w:szCs w:val="20"/>
                <w:lang w:eastAsia="es-CO"/>
              </w:rPr>
              <w:t>Otras cuentas por cobrar por Ingresos</w:t>
            </w:r>
            <w:r w:rsidRPr="000B50A3">
              <w:rPr>
                <w:rFonts w:ascii="Times New Roman" w:eastAsia="Times New Roman" w:hAnsi="Times New Roman"/>
                <w:color w:val="000000"/>
                <w:sz w:val="20"/>
                <w:szCs w:val="20"/>
                <w:lang w:eastAsia="es-CO"/>
              </w:rPr>
              <w:br/>
              <w:t>No Tributarios - Cargas Urbanísticas</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14:paraId="41EC99E0" w14:textId="77777777" w:rsidR="000B50A3" w:rsidRPr="000B50A3" w:rsidRDefault="000B50A3" w:rsidP="00AB4D08">
            <w:pPr>
              <w:spacing w:after="0" w:line="240" w:lineRule="auto"/>
              <w:contextualSpacing/>
              <w:rPr>
                <w:rFonts w:ascii="Times New Roman" w:eastAsia="Times New Roman" w:hAnsi="Times New Roman"/>
                <w:color w:val="000000"/>
                <w:sz w:val="20"/>
                <w:szCs w:val="20"/>
                <w:lang w:eastAsia="es-CO"/>
              </w:rPr>
            </w:pPr>
            <w:r w:rsidRPr="000B50A3">
              <w:rPr>
                <w:rFonts w:ascii="Times New Roman" w:eastAsia="Times New Roman" w:hAnsi="Times New Roman"/>
                <w:color w:val="000000"/>
                <w:sz w:val="20"/>
                <w:szCs w:val="20"/>
                <w:lang w:eastAsia="es-CO"/>
              </w:rPr>
              <w:t xml:space="preserve">      21.420.579.902 </w:t>
            </w:r>
          </w:p>
        </w:tc>
        <w:tc>
          <w:tcPr>
            <w:tcW w:w="1770" w:type="dxa"/>
            <w:tcBorders>
              <w:top w:val="nil"/>
              <w:left w:val="nil"/>
              <w:bottom w:val="single" w:sz="4" w:space="0" w:color="auto"/>
              <w:right w:val="single" w:sz="4" w:space="0" w:color="auto"/>
            </w:tcBorders>
            <w:shd w:val="clear" w:color="auto" w:fill="auto"/>
            <w:noWrap/>
            <w:vAlign w:val="center"/>
            <w:hideMark/>
          </w:tcPr>
          <w:p w14:paraId="2CD80550" w14:textId="77777777" w:rsidR="000B50A3" w:rsidRPr="000B50A3" w:rsidRDefault="000B50A3" w:rsidP="00AB4D08">
            <w:pPr>
              <w:spacing w:after="0" w:line="240" w:lineRule="auto"/>
              <w:contextualSpacing/>
              <w:rPr>
                <w:rFonts w:ascii="Times New Roman" w:eastAsia="Times New Roman" w:hAnsi="Times New Roman"/>
                <w:color w:val="000000"/>
                <w:sz w:val="20"/>
                <w:szCs w:val="20"/>
                <w:lang w:eastAsia="es-CO"/>
              </w:rPr>
            </w:pPr>
            <w:r w:rsidRPr="000B50A3">
              <w:rPr>
                <w:rFonts w:ascii="Times New Roman" w:eastAsia="Times New Roman" w:hAnsi="Times New Roman"/>
                <w:color w:val="000000"/>
                <w:sz w:val="20"/>
                <w:szCs w:val="20"/>
                <w:lang w:eastAsia="es-CO"/>
              </w:rPr>
              <w:t xml:space="preserve">      19.125.663.371 </w:t>
            </w:r>
          </w:p>
        </w:tc>
        <w:tc>
          <w:tcPr>
            <w:tcW w:w="985" w:type="dxa"/>
            <w:tcBorders>
              <w:top w:val="nil"/>
              <w:left w:val="nil"/>
              <w:bottom w:val="single" w:sz="4" w:space="0" w:color="auto"/>
              <w:right w:val="single" w:sz="4" w:space="0" w:color="auto"/>
            </w:tcBorders>
            <w:shd w:val="clear" w:color="auto" w:fill="auto"/>
            <w:noWrap/>
            <w:vAlign w:val="center"/>
            <w:hideMark/>
          </w:tcPr>
          <w:p w14:paraId="765086DB" w14:textId="0669BB20" w:rsidR="000B50A3" w:rsidRPr="000B50A3" w:rsidRDefault="000B50A3" w:rsidP="00AB4D08">
            <w:pPr>
              <w:spacing w:after="0" w:line="240" w:lineRule="auto"/>
              <w:contextualSpacing/>
              <w:jc w:val="right"/>
              <w:rPr>
                <w:rFonts w:ascii="Times New Roman" w:eastAsia="Times New Roman" w:hAnsi="Times New Roman"/>
                <w:color w:val="000000"/>
                <w:sz w:val="20"/>
                <w:szCs w:val="20"/>
                <w:lang w:eastAsia="es-CO"/>
              </w:rPr>
            </w:pPr>
            <w:r w:rsidRPr="000B50A3">
              <w:rPr>
                <w:rFonts w:ascii="Times New Roman" w:eastAsia="Times New Roman" w:hAnsi="Times New Roman"/>
                <w:color w:val="000000"/>
                <w:sz w:val="20"/>
                <w:szCs w:val="20"/>
                <w:lang w:eastAsia="es-CO"/>
              </w:rPr>
              <w:t>1</w:t>
            </w:r>
            <w:r w:rsidR="00C347E6">
              <w:rPr>
                <w:rFonts w:ascii="Times New Roman" w:eastAsia="Times New Roman" w:hAnsi="Times New Roman"/>
                <w:color w:val="000000"/>
                <w:sz w:val="20"/>
                <w:szCs w:val="20"/>
                <w:lang w:eastAsia="es-CO"/>
              </w:rPr>
              <w:t>2</w:t>
            </w:r>
            <w:r w:rsidRPr="000B50A3">
              <w:rPr>
                <w:rFonts w:ascii="Times New Roman" w:eastAsia="Times New Roman" w:hAnsi="Times New Roman"/>
                <w:color w:val="000000"/>
                <w:sz w:val="20"/>
                <w:szCs w:val="20"/>
                <w:lang w:eastAsia="es-CO"/>
              </w:rPr>
              <w:t>,</w:t>
            </w:r>
            <w:r w:rsidR="00C347E6">
              <w:rPr>
                <w:rFonts w:ascii="Times New Roman" w:eastAsia="Times New Roman" w:hAnsi="Times New Roman"/>
                <w:color w:val="000000"/>
                <w:sz w:val="20"/>
                <w:szCs w:val="20"/>
                <w:lang w:eastAsia="es-CO"/>
              </w:rPr>
              <w:t>00</w:t>
            </w:r>
            <w:r w:rsidRPr="000B50A3">
              <w:rPr>
                <w:rFonts w:ascii="Times New Roman" w:eastAsia="Times New Roman" w:hAnsi="Times New Roman"/>
                <w:color w:val="000000"/>
                <w:sz w:val="20"/>
                <w:szCs w:val="20"/>
                <w:lang w:eastAsia="es-CO"/>
              </w:rPr>
              <w:t>%</w:t>
            </w:r>
          </w:p>
        </w:tc>
      </w:tr>
    </w:tbl>
    <w:p w14:paraId="406D0151" w14:textId="77777777" w:rsidR="000B50A3" w:rsidRDefault="000B50A3" w:rsidP="00AB4D08">
      <w:pPr>
        <w:spacing w:after="0" w:line="240" w:lineRule="auto"/>
        <w:ind w:left="567"/>
        <w:contextualSpacing/>
        <w:jc w:val="both"/>
        <w:rPr>
          <w:rFonts w:ascii="Times New Roman" w:eastAsia="Arial" w:hAnsi="Times New Roman"/>
          <w:sz w:val="24"/>
          <w:szCs w:val="24"/>
        </w:rPr>
      </w:pPr>
    </w:p>
    <w:p w14:paraId="5B6632F0" w14:textId="77777777" w:rsidR="00E969C6" w:rsidRPr="00F2007A" w:rsidRDefault="00E969C6" w:rsidP="00AB4D08">
      <w:pPr>
        <w:spacing w:after="0" w:line="240" w:lineRule="auto"/>
        <w:ind w:left="567"/>
        <w:contextualSpacing/>
        <w:jc w:val="both"/>
        <w:rPr>
          <w:rFonts w:ascii="Times New Roman" w:eastAsia="Arial" w:hAnsi="Times New Roman"/>
          <w:sz w:val="24"/>
          <w:szCs w:val="24"/>
        </w:rPr>
      </w:pPr>
      <w:r w:rsidRPr="002336B8">
        <w:rPr>
          <w:rFonts w:ascii="Times New Roman" w:eastAsia="Arial" w:hAnsi="Times New Roman"/>
          <w:sz w:val="24"/>
          <w:szCs w:val="24"/>
        </w:rPr>
        <w:t>El saldo por $21.420.579.902, a 31 de diciembre de 2019, representa las liquidaciones y saldos de las compensaciones de obligaciones urbanísticas creadas a través del Decreto 562 de 2014 derogado por el Decreto 079 de 2016</w:t>
      </w:r>
      <w:r>
        <w:rPr>
          <w:rFonts w:ascii="Times New Roman" w:eastAsia="Arial" w:hAnsi="Times New Roman"/>
          <w:sz w:val="24"/>
          <w:szCs w:val="24"/>
        </w:rPr>
        <w:t>,  presentando un incremento  del 11% frente al saldo de la vigencia anterior dado por las nuevas liquidaciones de obligaciones urbanísticas $</w:t>
      </w:r>
      <w:r w:rsidRPr="00F2007A">
        <w:rPr>
          <w:rFonts w:ascii="Times New Roman" w:eastAsia="Arial" w:hAnsi="Times New Roman"/>
          <w:sz w:val="24"/>
          <w:szCs w:val="24"/>
        </w:rPr>
        <w:t>5</w:t>
      </w:r>
      <w:r>
        <w:rPr>
          <w:rFonts w:ascii="Times New Roman" w:eastAsia="Arial" w:hAnsi="Times New Roman"/>
          <w:sz w:val="24"/>
          <w:szCs w:val="24"/>
        </w:rPr>
        <w:t>.</w:t>
      </w:r>
      <w:r w:rsidRPr="00F2007A">
        <w:rPr>
          <w:rFonts w:ascii="Times New Roman" w:eastAsia="Arial" w:hAnsi="Times New Roman"/>
          <w:sz w:val="24"/>
          <w:szCs w:val="24"/>
        </w:rPr>
        <w:t>345</w:t>
      </w:r>
      <w:r>
        <w:rPr>
          <w:rFonts w:ascii="Times New Roman" w:eastAsia="Arial" w:hAnsi="Times New Roman"/>
          <w:sz w:val="24"/>
          <w:szCs w:val="24"/>
        </w:rPr>
        <w:t>.</w:t>
      </w:r>
      <w:r w:rsidRPr="00F2007A">
        <w:rPr>
          <w:rFonts w:ascii="Times New Roman" w:eastAsia="Arial" w:hAnsi="Times New Roman"/>
          <w:sz w:val="24"/>
          <w:szCs w:val="24"/>
        </w:rPr>
        <w:t>630</w:t>
      </w:r>
      <w:r>
        <w:rPr>
          <w:rFonts w:ascii="Times New Roman" w:eastAsia="Arial" w:hAnsi="Times New Roman"/>
          <w:sz w:val="24"/>
          <w:szCs w:val="24"/>
        </w:rPr>
        <w:t>.</w:t>
      </w:r>
      <w:r w:rsidRPr="00F2007A">
        <w:rPr>
          <w:rFonts w:ascii="Times New Roman" w:eastAsia="Arial" w:hAnsi="Times New Roman"/>
          <w:sz w:val="24"/>
          <w:szCs w:val="24"/>
        </w:rPr>
        <w:t>813</w:t>
      </w:r>
      <w:r>
        <w:rPr>
          <w:rFonts w:ascii="Times New Roman" w:eastAsia="Arial" w:hAnsi="Times New Roman"/>
          <w:sz w:val="24"/>
          <w:szCs w:val="24"/>
        </w:rPr>
        <w:t>.</w:t>
      </w:r>
      <w:r w:rsidRPr="00F2007A">
        <w:rPr>
          <w:rFonts w:ascii="Times New Roman" w:eastAsia="Arial" w:hAnsi="Times New Roman"/>
          <w:sz w:val="24"/>
          <w:szCs w:val="24"/>
        </w:rPr>
        <w:t xml:space="preserve"> </w:t>
      </w:r>
    </w:p>
    <w:p w14:paraId="7ABD1134" w14:textId="77777777" w:rsidR="00E969C6" w:rsidRPr="00087200" w:rsidRDefault="00E969C6" w:rsidP="00AB4D08">
      <w:pPr>
        <w:spacing w:after="0" w:line="240" w:lineRule="auto"/>
        <w:ind w:left="567"/>
        <w:contextualSpacing/>
        <w:jc w:val="both"/>
        <w:rPr>
          <w:rFonts w:ascii="Times New Roman" w:eastAsia="Arial" w:hAnsi="Times New Roman"/>
          <w:sz w:val="24"/>
          <w:szCs w:val="24"/>
          <w:highlight w:val="yellow"/>
        </w:rPr>
      </w:pPr>
    </w:p>
    <w:p w14:paraId="4249E6EF" w14:textId="77777777" w:rsidR="00E969C6" w:rsidRPr="002336B8" w:rsidRDefault="00E969C6" w:rsidP="00AB4D08">
      <w:pPr>
        <w:spacing w:after="0" w:line="240" w:lineRule="auto"/>
        <w:ind w:left="567"/>
        <w:contextualSpacing/>
        <w:jc w:val="both"/>
        <w:rPr>
          <w:rFonts w:ascii="Times New Roman" w:eastAsia="Arial" w:hAnsi="Times New Roman"/>
          <w:sz w:val="24"/>
          <w:szCs w:val="24"/>
        </w:rPr>
      </w:pPr>
      <w:r w:rsidRPr="002336B8">
        <w:rPr>
          <w:rFonts w:ascii="Times New Roman" w:eastAsia="Arial" w:hAnsi="Times New Roman"/>
          <w:sz w:val="24"/>
          <w:szCs w:val="24"/>
        </w:rPr>
        <w:t xml:space="preserve">Acorde con la norma, esta cartera cuenta con dos opciones de pago: el pago total o el pago diferido, el cual consiste en suscribir un acuerdo de facilidad de pago cancelando inmediatamente el 30% de la obligación, como requisito previo a la expedición de la licencia de construcción que da origen a la carga urbanística y diferir el restante en cuotas según acuerdo. </w:t>
      </w:r>
    </w:p>
    <w:p w14:paraId="282D4028" w14:textId="77777777" w:rsidR="00E969C6" w:rsidRDefault="00E969C6" w:rsidP="00AB4D08">
      <w:pPr>
        <w:spacing w:after="0" w:line="240" w:lineRule="auto"/>
        <w:ind w:left="567"/>
        <w:contextualSpacing/>
        <w:jc w:val="both"/>
        <w:rPr>
          <w:rFonts w:ascii="Times New Roman" w:eastAsia="Arial" w:hAnsi="Times New Roman"/>
          <w:sz w:val="24"/>
          <w:szCs w:val="24"/>
          <w:highlight w:val="yellow"/>
        </w:rPr>
      </w:pPr>
    </w:p>
    <w:p w14:paraId="6B03167F" w14:textId="5E83C12C" w:rsidR="00E969C6" w:rsidRDefault="00E969C6" w:rsidP="00AB4D08">
      <w:pPr>
        <w:spacing w:after="0" w:line="240" w:lineRule="auto"/>
        <w:ind w:left="567"/>
        <w:contextualSpacing/>
        <w:jc w:val="both"/>
        <w:rPr>
          <w:rFonts w:ascii="Times New Roman" w:eastAsia="Arial" w:hAnsi="Times New Roman"/>
          <w:sz w:val="24"/>
          <w:szCs w:val="24"/>
        </w:rPr>
      </w:pPr>
      <w:r w:rsidRPr="002336B8">
        <w:rPr>
          <w:rFonts w:ascii="Times New Roman" w:eastAsia="Arial" w:hAnsi="Times New Roman"/>
          <w:sz w:val="24"/>
          <w:szCs w:val="24"/>
        </w:rPr>
        <w:t>Sobre esta cartera el IDU realiza procesos de depuración ordinaria de cartera y acciones de cobro persuasivo dando como resultado ya sea la baja en cuentas a través de resoluciones de pérdida de fuerza ejecutoria de las resoluciones de liquidación</w:t>
      </w:r>
      <w:r>
        <w:rPr>
          <w:rFonts w:ascii="Times New Roman" w:eastAsia="Arial" w:hAnsi="Times New Roman"/>
          <w:sz w:val="24"/>
          <w:szCs w:val="24"/>
        </w:rPr>
        <w:t xml:space="preserve"> sobre las cuales no se han hecho pagos</w:t>
      </w:r>
      <w:r w:rsidRPr="002336B8">
        <w:rPr>
          <w:rFonts w:ascii="Times New Roman" w:eastAsia="Arial" w:hAnsi="Times New Roman"/>
          <w:sz w:val="24"/>
          <w:szCs w:val="24"/>
        </w:rPr>
        <w:t xml:space="preserve"> o el recaudo de las mismas.</w:t>
      </w:r>
      <w:r>
        <w:rPr>
          <w:rFonts w:ascii="Times New Roman" w:eastAsia="Arial" w:hAnsi="Times New Roman"/>
          <w:sz w:val="24"/>
          <w:szCs w:val="24"/>
        </w:rPr>
        <w:t xml:space="preserve"> Como resultado de dichas acciones, durante el 2019 se realizó un recaudo $ 3.050.714.288 y no </w:t>
      </w:r>
      <w:r w:rsidR="00C5505F">
        <w:rPr>
          <w:rFonts w:ascii="Times New Roman" w:eastAsia="Arial" w:hAnsi="Times New Roman"/>
          <w:sz w:val="24"/>
          <w:szCs w:val="24"/>
        </w:rPr>
        <w:t xml:space="preserve">se presentó </w:t>
      </w:r>
      <w:r>
        <w:rPr>
          <w:rFonts w:ascii="Times New Roman" w:eastAsia="Arial" w:hAnsi="Times New Roman"/>
          <w:sz w:val="24"/>
          <w:szCs w:val="24"/>
        </w:rPr>
        <w:t>baja en cuentas</w:t>
      </w:r>
      <w:r w:rsidR="00C5505F">
        <w:rPr>
          <w:rFonts w:ascii="Times New Roman" w:eastAsia="Arial" w:hAnsi="Times New Roman"/>
          <w:sz w:val="24"/>
          <w:szCs w:val="24"/>
        </w:rPr>
        <w:t>,</w:t>
      </w:r>
      <w:r>
        <w:rPr>
          <w:rFonts w:ascii="Times New Roman" w:eastAsia="Arial" w:hAnsi="Times New Roman"/>
          <w:sz w:val="24"/>
          <w:szCs w:val="24"/>
        </w:rPr>
        <w:t xml:space="preserve"> p</w:t>
      </w:r>
      <w:r w:rsidR="00C5505F">
        <w:rPr>
          <w:rFonts w:ascii="Times New Roman" w:eastAsia="Arial" w:hAnsi="Times New Roman"/>
          <w:sz w:val="24"/>
          <w:szCs w:val="24"/>
        </w:rPr>
        <w:t xml:space="preserve">or cuanto </w:t>
      </w:r>
      <w:r>
        <w:rPr>
          <w:rFonts w:ascii="Times New Roman" w:eastAsia="Arial" w:hAnsi="Times New Roman"/>
          <w:sz w:val="24"/>
          <w:szCs w:val="24"/>
        </w:rPr>
        <w:t xml:space="preserve">durante la vigencia 2018 se </w:t>
      </w:r>
      <w:r w:rsidR="00C5505F">
        <w:rPr>
          <w:rFonts w:ascii="Times New Roman" w:eastAsia="Arial" w:hAnsi="Times New Roman"/>
          <w:sz w:val="24"/>
          <w:szCs w:val="24"/>
        </w:rPr>
        <w:t xml:space="preserve">realizó </w:t>
      </w:r>
      <w:r>
        <w:rPr>
          <w:rFonts w:ascii="Times New Roman" w:eastAsia="Arial" w:hAnsi="Times New Roman"/>
          <w:sz w:val="24"/>
          <w:szCs w:val="24"/>
        </w:rPr>
        <w:t>una depuración significativa de esta cartera.</w:t>
      </w:r>
    </w:p>
    <w:p w14:paraId="7082E96A" w14:textId="77777777" w:rsidR="00E969C6" w:rsidRPr="00E969C6" w:rsidRDefault="00E969C6" w:rsidP="00AB4D08">
      <w:pPr>
        <w:spacing w:after="0" w:line="240" w:lineRule="auto"/>
        <w:ind w:left="567"/>
        <w:contextualSpacing/>
        <w:jc w:val="both"/>
        <w:rPr>
          <w:rFonts w:ascii="Times New Roman" w:eastAsia="Arial" w:hAnsi="Times New Roman"/>
          <w:sz w:val="24"/>
          <w:szCs w:val="24"/>
        </w:rPr>
      </w:pPr>
    </w:p>
    <w:p w14:paraId="69417B45" w14:textId="77777777" w:rsidR="00E969C6" w:rsidRPr="00E969C6" w:rsidRDefault="00E969C6" w:rsidP="00AB4D08">
      <w:pPr>
        <w:spacing w:after="0" w:line="240" w:lineRule="auto"/>
        <w:ind w:left="567"/>
        <w:contextualSpacing/>
        <w:jc w:val="both"/>
        <w:rPr>
          <w:rFonts w:ascii="Times New Roman" w:eastAsia="Arial" w:hAnsi="Times New Roman"/>
          <w:sz w:val="24"/>
          <w:szCs w:val="24"/>
        </w:rPr>
      </w:pPr>
      <w:r w:rsidRPr="00E969C6">
        <w:rPr>
          <w:rFonts w:ascii="Times New Roman" w:eastAsia="Arial" w:hAnsi="Times New Roman"/>
          <w:sz w:val="24"/>
          <w:szCs w:val="24"/>
        </w:rPr>
        <w:t>Deterioro Cuentas por Cobrar Cargas Urbanísticas</w:t>
      </w:r>
    </w:p>
    <w:p w14:paraId="320489FB" w14:textId="77777777" w:rsidR="00E969C6" w:rsidRDefault="00E969C6" w:rsidP="00AB4D08">
      <w:pPr>
        <w:spacing w:after="0" w:line="240" w:lineRule="auto"/>
        <w:ind w:left="567"/>
        <w:contextualSpacing/>
        <w:jc w:val="both"/>
        <w:rPr>
          <w:rFonts w:ascii="Times New Roman" w:hAnsi="Times New Roman"/>
          <w:sz w:val="24"/>
          <w:szCs w:val="24"/>
        </w:rPr>
      </w:pPr>
    </w:p>
    <w:p w14:paraId="13EB8AB8" w14:textId="72F2D624" w:rsidR="00E969C6" w:rsidRDefault="00E969C6" w:rsidP="00AB4D08">
      <w:pPr>
        <w:spacing w:after="0" w:line="240" w:lineRule="auto"/>
        <w:ind w:left="567"/>
        <w:contextualSpacing/>
        <w:jc w:val="both"/>
        <w:rPr>
          <w:rFonts w:ascii="Times New Roman" w:hAnsi="Times New Roman"/>
          <w:sz w:val="24"/>
          <w:szCs w:val="24"/>
        </w:rPr>
      </w:pPr>
      <w:r w:rsidRPr="00E813EB">
        <w:rPr>
          <w:noProof/>
          <w:lang w:eastAsia="es-CO"/>
        </w:rPr>
        <w:drawing>
          <wp:inline distT="0" distB="0" distL="0" distR="0" wp14:anchorId="690E1EB5" wp14:editId="5DBCFADE">
            <wp:extent cx="5612130" cy="70096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00961"/>
                    </a:xfrm>
                    <a:prstGeom prst="rect">
                      <a:avLst/>
                    </a:prstGeom>
                    <a:noFill/>
                    <a:ln>
                      <a:noFill/>
                    </a:ln>
                  </pic:spPr>
                </pic:pic>
              </a:graphicData>
            </a:graphic>
          </wp:inline>
        </w:drawing>
      </w:r>
    </w:p>
    <w:p w14:paraId="35F0ECD1" w14:textId="77777777" w:rsidR="00E969C6" w:rsidRDefault="00E969C6" w:rsidP="00AB4D08">
      <w:pPr>
        <w:spacing w:after="0" w:line="240" w:lineRule="auto"/>
        <w:ind w:left="567"/>
        <w:contextualSpacing/>
        <w:jc w:val="both"/>
        <w:rPr>
          <w:rFonts w:ascii="Times New Roman" w:hAnsi="Times New Roman"/>
          <w:sz w:val="24"/>
          <w:szCs w:val="24"/>
        </w:rPr>
      </w:pPr>
    </w:p>
    <w:p w14:paraId="066A616E" w14:textId="77777777" w:rsidR="00E969C6" w:rsidRPr="00925E0B" w:rsidRDefault="00E969C6"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El deterioro para la cartera de cargas urbanísticas se estimó utilizando la tasa de interés TES cero cupón a cinco años para 2019 del 5.76% informada por la Dirección Distrital de Contabilidad de la Secretaría de Hacienda Distrital, a través de la Carta Circular 081 del 30 de diciembre de 2019  y por el método individual d</w:t>
      </w:r>
      <w:r w:rsidRPr="00F2007A">
        <w:rPr>
          <w:rFonts w:ascii="Times New Roman" w:eastAsia="Arial" w:hAnsi="Times New Roman"/>
          <w:sz w:val="24"/>
          <w:szCs w:val="24"/>
        </w:rPr>
        <w:t>e acuerdo con lo establecido</w:t>
      </w:r>
      <w:r>
        <w:rPr>
          <w:rFonts w:ascii="Times New Roman" w:eastAsia="Arial" w:hAnsi="Times New Roman"/>
          <w:sz w:val="24"/>
          <w:szCs w:val="24"/>
        </w:rPr>
        <w:t xml:space="preserve"> en las políticas de la Entidad y los lineamientos de</w:t>
      </w:r>
      <w:r w:rsidRPr="00F2007A">
        <w:rPr>
          <w:rFonts w:ascii="Times New Roman" w:eastAsia="Arial" w:hAnsi="Times New Roman"/>
          <w:sz w:val="24"/>
          <w:szCs w:val="24"/>
        </w:rPr>
        <w:t xml:space="preserve"> la guía transversal de aplicación para las Entidades de Gobierno Distritales, del 24 de agosto de 2018, emitida por la Secretaría Distrital de Hacienda, Dirección Distrital de Contabilidad</w:t>
      </w:r>
      <w:r>
        <w:rPr>
          <w:rFonts w:ascii="Times New Roman" w:eastAsia="Arial" w:hAnsi="Times New Roman"/>
          <w:sz w:val="24"/>
          <w:szCs w:val="24"/>
        </w:rPr>
        <w:t>.</w:t>
      </w:r>
    </w:p>
    <w:p w14:paraId="5C21B6AB" w14:textId="77777777" w:rsidR="00E969C6" w:rsidRPr="00E969C6" w:rsidRDefault="00E969C6" w:rsidP="00AB4D08">
      <w:pPr>
        <w:spacing w:after="0" w:line="240" w:lineRule="auto"/>
        <w:ind w:left="567"/>
        <w:contextualSpacing/>
        <w:jc w:val="both"/>
        <w:rPr>
          <w:rFonts w:ascii="Times New Roman" w:hAnsi="Times New Roman"/>
          <w:sz w:val="24"/>
          <w:szCs w:val="24"/>
        </w:rPr>
      </w:pPr>
    </w:p>
    <w:p w14:paraId="459F4DAE" w14:textId="77777777" w:rsidR="00E969C6" w:rsidRDefault="00E969C6" w:rsidP="00AB4D08">
      <w:pPr>
        <w:spacing w:after="0" w:line="240" w:lineRule="auto"/>
        <w:contextualSpacing/>
        <w:jc w:val="both"/>
        <w:rPr>
          <w:rFonts w:ascii="Times New Roman" w:hAnsi="Times New Roman"/>
          <w:sz w:val="24"/>
          <w:szCs w:val="24"/>
        </w:rPr>
      </w:pPr>
    </w:p>
    <w:p w14:paraId="5D2B3AAE" w14:textId="77777777" w:rsidR="00955050" w:rsidRPr="00823F72" w:rsidRDefault="00955050" w:rsidP="00AB4D08">
      <w:pPr>
        <w:spacing w:after="0" w:line="240" w:lineRule="auto"/>
        <w:contextualSpacing/>
        <w:jc w:val="both"/>
        <w:rPr>
          <w:rFonts w:ascii="Times New Roman" w:hAnsi="Times New Roman"/>
          <w:sz w:val="24"/>
          <w:szCs w:val="24"/>
        </w:rPr>
      </w:pPr>
    </w:p>
    <w:p w14:paraId="6746A580" w14:textId="77777777" w:rsidR="008E6A95" w:rsidRPr="00823F72" w:rsidRDefault="004165E7" w:rsidP="00AB4D08">
      <w:pPr>
        <w:pStyle w:val="Ttulo1"/>
        <w:contextualSpacing/>
        <w:rPr>
          <w:rFonts w:cs="Times New Roman"/>
          <w:sz w:val="24"/>
          <w:szCs w:val="24"/>
        </w:rPr>
      </w:pPr>
      <w:bookmarkStart w:id="41" w:name="_Toc32317256"/>
      <w:r w:rsidRPr="00823F72">
        <w:rPr>
          <w:rFonts w:cs="Times New Roman"/>
          <w:sz w:val="24"/>
          <w:szCs w:val="24"/>
        </w:rPr>
        <w:lastRenderedPageBreak/>
        <w:t>NOTA 9. INVENTARIOS</w:t>
      </w:r>
      <w:bookmarkEnd w:id="41"/>
    </w:p>
    <w:p w14:paraId="1C48015C" w14:textId="77777777" w:rsidR="00804357" w:rsidRPr="00823F72" w:rsidRDefault="00804357" w:rsidP="00AB4D08">
      <w:pPr>
        <w:spacing w:after="0" w:line="240" w:lineRule="auto"/>
        <w:contextualSpacing/>
        <w:jc w:val="both"/>
        <w:rPr>
          <w:rFonts w:ascii="Times New Roman" w:hAnsi="Times New Roman"/>
          <w:b/>
          <w:sz w:val="24"/>
          <w:szCs w:val="24"/>
        </w:rPr>
      </w:pPr>
    </w:p>
    <w:p w14:paraId="1168E271" w14:textId="77777777" w:rsidR="00804357" w:rsidRPr="00823F72" w:rsidRDefault="00804357" w:rsidP="00AB4D08">
      <w:pPr>
        <w:pStyle w:val="Ttulo2"/>
        <w:numPr>
          <w:ilvl w:val="0"/>
          <w:numId w:val="0"/>
        </w:numPr>
        <w:spacing w:line="240" w:lineRule="auto"/>
        <w:contextualSpacing/>
        <w:rPr>
          <w:rFonts w:cs="Times New Roman"/>
          <w:szCs w:val="24"/>
        </w:rPr>
      </w:pPr>
      <w:bookmarkStart w:id="42" w:name="_Toc32317257"/>
      <w:r w:rsidRPr="00823F72">
        <w:rPr>
          <w:rFonts w:cs="Times New Roman"/>
          <w:szCs w:val="24"/>
        </w:rPr>
        <w:t>Composición</w:t>
      </w:r>
      <w:bookmarkEnd w:id="42"/>
    </w:p>
    <w:p w14:paraId="15FB9800" w14:textId="77E8985D" w:rsidR="00804357" w:rsidRDefault="00804357" w:rsidP="00AB4D08">
      <w:pPr>
        <w:pStyle w:val="Prrafodelista"/>
        <w:spacing w:after="0" w:line="240" w:lineRule="auto"/>
        <w:ind w:left="567"/>
        <w:jc w:val="both"/>
        <w:rPr>
          <w:rFonts w:ascii="Times New Roman" w:hAnsi="Times New Roman"/>
          <w:sz w:val="24"/>
          <w:szCs w:val="24"/>
        </w:rPr>
      </w:pPr>
    </w:p>
    <w:p w14:paraId="0C088F96" w14:textId="77777777" w:rsidR="00823F72" w:rsidRDefault="00823F72" w:rsidP="00AB4D08">
      <w:pPr>
        <w:spacing w:line="240" w:lineRule="auto"/>
        <w:ind w:left="567"/>
        <w:contextualSpacing/>
        <w:jc w:val="both"/>
        <w:rPr>
          <w:rFonts w:ascii="Times New Roman" w:hAnsi="Times New Roman"/>
          <w:sz w:val="24"/>
          <w:szCs w:val="24"/>
        </w:rPr>
      </w:pPr>
      <w:r w:rsidRPr="00947C7B">
        <w:rPr>
          <w:rFonts w:ascii="Times New Roman" w:hAnsi="Times New Roman"/>
          <w:sz w:val="24"/>
          <w:szCs w:val="24"/>
        </w:rPr>
        <w:t xml:space="preserve">El grupo de Inventarios, está conformado </w:t>
      </w:r>
      <w:r>
        <w:rPr>
          <w:rFonts w:ascii="Times New Roman" w:hAnsi="Times New Roman"/>
          <w:sz w:val="24"/>
          <w:szCs w:val="24"/>
        </w:rPr>
        <w:t>de la siguiente manera:</w:t>
      </w:r>
    </w:p>
    <w:p w14:paraId="312A266A" w14:textId="3B3CFBCC" w:rsidR="00823F72" w:rsidRDefault="00823F72" w:rsidP="00AB4D08">
      <w:pPr>
        <w:pStyle w:val="Prrafodelista"/>
        <w:spacing w:after="0" w:line="240" w:lineRule="auto"/>
        <w:ind w:left="360"/>
        <w:jc w:val="both"/>
        <w:rPr>
          <w:rFonts w:ascii="Times New Roman" w:hAnsi="Times New Roman"/>
          <w:sz w:val="24"/>
          <w:szCs w:val="24"/>
        </w:rPr>
      </w:pPr>
      <w:r>
        <w:rPr>
          <w:noProof/>
          <w:lang w:eastAsia="es-CO"/>
        </w:rPr>
        <w:drawing>
          <wp:inline distT="0" distB="0" distL="0" distR="0" wp14:anchorId="2D949B2D" wp14:editId="0F1984A3">
            <wp:extent cx="5791835" cy="201022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2010229"/>
                    </a:xfrm>
                    <a:prstGeom prst="rect">
                      <a:avLst/>
                    </a:prstGeom>
                  </pic:spPr>
                </pic:pic>
              </a:graphicData>
            </a:graphic>
          </wp:inline>
        </w:drawing>
      </w:r>
    </w:p>
    <w:p w14:paraId="39108973" w14:textId="77777777" w:rsidR="00823F72" w:rsidRDefault="00823F72" w:rsidP="00AB4D08">
      <w:pPr>
        <w:pStyle w:val="Prrafodelista"/>
        <w:spacing w:after="0" w:line="240" w:lineRule="auto"/>
        <w:ind w:left="360"/>
        <w:jc w:val="both"/>
        <w:rPr>
          <w:rFonts w:ascii="Times New Roman" w:hAnsi="Times New Roman"/>
          <w:sz w:val="24"/>
          <w:szCs w:val="24"/>
        </w:rPr>
      </w:pPr>
    </w:p>
    <w:p w14:paraId="22BEC2B5" w14:textId="0FCC93FF" w:rsidR="00823F72" w:rsidRPr="00823F72" w:rsidRDefault="00823F72" w:rsidP="00AB4D08">
      <w:pPr>
        <w:pStyle w:val="Ttulo2"/>
        <w:numPr>
          <w:ilvl w:val="1"/>
          <w:numId w:val="26"/>
        </w:numPr>
        <w:spacing w:line="240" w:lineRule="auto"/>
        <w:ind w:left="567" w:hanging="567"/>
        <w:contextualSpacing/>
        <w:rPr>
          <w:rFonts w:cs="Times New Roman"/>
          <w:szCs w:val="24"/>
        </w:rPr>
      </w:pPr>
      <w:bookmarkStart w:id="43" w:name="_Toc32317258"/>
      <w:r>
        <w:rPr>
          <w:rFonts w:cs="Times New Roman"/>
          <w:szCs w:val="24"/>
        </w:rPr>
        <w:t>Predios sobrantes</w:t>
      </w:r>
      <w:bookmarkEnd w:id="43"/>
      <w:r>
        <w:rPr>
          <w:rFonts w:cs="Times New Roman"/>
          <w:szCs w:val="24"/>
        </w:rPr>
        <w:t xml:space="preserve"> </w:t>
      </w:r>
    </w:p>
    <w:p w14:paraId="61022433" w14:textId="77777777" w:rsidR="00823F72" w:rsidRPr="00823F72" w:rsidRDefault="00823F72" w:rsidP="00AB4D08">
      <w:pPr>
        <w:pStyle w:val="Prrafodelista"/>
        <w:spacing w:after="0" w:line="240" w:lineRule="auto"/>
        <w:ind w:left="567"/>
        <w:jc w:val="both"/>
        <w:rPr>
          <w:rFonts w:ascii="Times New Roman" w:hAnsi="Times New Roman"/>
          <w:sz w:val="24"/>
          <w:szCs w:val="24"/>
        </w:rPr>
      </w:pPr>
    </w:p>
    <w:p w14:paraId="51EE731A" w14:textId="77777777" w:rsidR="00823F72" w:rsidRPr="00823F72" w:rsidRDefault="00823F72" w:rsidP="00AB4D08">
      <w:pPr>
        <w:tabs>
          <w:tab w:val="left" w:pos="567"/>
        </w:tabs>
        <w:spacing w:after="0" w:line="240" w:lineRule="auto"/>
        <w:ind w:left="567"/>
        <w:contextualSpacing/>
        <w:jc w:val="both"/>
        <w:rPr>
          <w:rFonts w:ascii="Times New Roman" w:eastAsia="Times New Roman" w:hAnsi="Times New Roman"/>
          <w:sz w:val="24"/>
          <w:szCs w:val="24"/>
          <w:lang w:eastAsia="es-CO"/>
        </w:rPr>
      </w:pPr>
      <w:r w:rsidRPr="00823F72">
        <w:rPr>
          <w:rFonts w:ascii="Times New Roman" w:eastAsia="Times New Roman" w:hAnsi="Times New Roman"/>
          <w:sz w:val="24"/>
          <w:szCs w:val="24"/>
          <w:lang w:eastAsia="es-CO"/>
        </w:rPr>
        <w:t xml:space="preserve">Se  reconoce como inventarios, los activos que resultan como sobrantes, de los predios que se compran para la construcción de la infraestructura vial, en desarrollo de su misionalidad  y que son reportados por la Dirección Técnica de Predios. Se miden por el costo de adquisición relativo al costo del terreno. </w:t>
      </w:r>
    </w:p>
    <w:p w14:paraId="43C288AF" w14:textId="77777777" w:rsidR="00823F72" w:rsidRPr="00823F72" w:rsidRDefault="00823F72" w:rsidP="00AB4D08">
      <w:pPr>
        <w:tabs>
          <w:tab w:val="left" w:pos="567"/>
        </w:tabs>
        <w:spacing w:after="0" w:line="240" w:lineRule="auto"/>
        <w:ind w:left="567"/>
        <w:contextualSpacing/>
        <w:jc w:val="both"/>
        <w:rPr>
          <w:rFonts w:ascii="Times New Roman" w:eastAsia="Times New Roman" w:hAnsi="Times New Roman"/>
          <w:sz w:val="24"/>
          <w:szCs w:val="24"/>
          <w:lang w:eastAsia="es-CO"/>
        </w:rPr>
      </w:pPr>
    </w:p>
    <w:p w14:paraId="19026C0E" w14:textId="55E63D86" w:rsidR="00823F72" w:rsidRPr="00823F72" w:rsidRDefault="00823F72" w:rsidP="00AB4D08">
      <w:pPr>
        <w:pStyle w:val="NormalWeb"/>
        <w:tabs>
          <w:tab w:val="left" w:pos="567"/>
        </w:tabs>
        <w:spacing w:before="0" w:beforeAutospacing="0" w:after="0" w:afterAutospacing="0"/>
        <w:ind w:left="567"/>
        <w:contextualSpacing/>
        <w:jc w:val="both"/>
      </w:pPr>
      <w:r w:rsidRPr="00823F72">
        <w:t>Al cierre de la vigencia 2019, los inventarios que se esperan comercializar se miden al menor valor entre el costo y el valor neto de realización y los demás, se miden al menor valor entre el costo y el costo de reposición.</w:t>
      </w:r>
    </w:p>
    <w:p w14:paraId="0CF81DB2" w14:textId="77777777" w:rsidR="00823F72" w:rsidRPr="00823F72" w:rsidRDefault="00823F72" w:rsidP="00AB4D08">
      <w:pPr>
        <w:tabs>
          <w:tab w:val="left" w:pos="567"/>
        </w:tabs>
        <w:spacing w:after="0" w:line="240" w:lineRule="auto"/>
        <w:ind w:left="567"/>
        <w:contextualSpacing/>
        <w:rPr>
          <w:rFonts w:ascii="Times New Roman" w:eastAsia="Times New Roman" w:hAnsi="Times New Roman"/>
          <w:color w:val="FF0000"/>
          <w:sz w:val="24"/>
          <w:szCs w:val="24"/>
          <w:lang w:eastAsia="es-CO"/>
        </w:rPr>
      </w:pPr>
    </w:p>
    <w:p w14:paraId="4A75CB8E" w14:textId="756C4733" w:rsidR="00823F72" w:rsidRPr="00823F72" w:rsidRDefault="00823F72" w:rsidP="00AB4D08">
      <w:pPr>
        <w:pStyle w:val="Prrafodelista"/>
        <w:tabs>
          <w:tab w:val="left" w:pos="567"/>
        </w:tabs>
        <w:spacing w:after="0" w:line="240" w:lineRule="auto"/>
        <w:ind w:left="567"/>
        <w:jc w:val="both"/>
        <w:rPr>
          <w:rFonts w:ascii="Times New Roman" w:hAnsi="Times New Roman"/>
          <w:sz w:val="24"/>
          <w:szCs w:val="24"/>
        </w:rPr>
      </w:pPr>
      <w:r w:rsidRPr="00823F72">
        <w:rPr>
          <w:rFonts w:ascii="Times New Roman" w:hAnsi="Times New Roman"/>
          <w:sz w:val="24"/>
          <w:szCs w:val="24"/>
        </w:rPr>
        <w:t>A 31 de diciembre 2019, presenta un valor neto de $ 7.529.222.564, conformado por el costo histórico de 98 predios, que corresponden principalmente a sobrantes de terrenos adquiridos para la construcción de las diferentes vías de Bogotá D. C.,  por $2.660.156.118 y 119 sobrantes de terrenos adquiridos para la construcción de las Troncales AC26, NQS, AV. SUBA y UPZ 30, por $ 5.098.768.508 menos deterioro acumulado por $229.702.062.</w:t>
      </w:r>
    </w:p>
    <w:p w14:paraId="240EEB11" w14:textId="77777777" w:rsidR="00823F72" w:rsidRPr="00823F72" w:rsidRDefault="00823F72" w:rsidP="00AB4D08">
      <w:pPr>
        <w:pStyle w:val="Prrafodelista"/>
        <w:spacing w:after="0" w:line="240" w:lineRule="auto"/>
        <w:ind w:left="567"/>
        <w:jc w:val="both"/>
        <w:rPr>
          <w:rFonts w:ascii="Times New Roman" w:hAnsi="Times New Roman"/>
          <w:sz w:val="24"/>
          <w:szCs w:val="24"/>
        </w:rPr>
      </w:pPr>
    </w:p>
    <w:p w14:paraId="3AE53567" w14:textId="77B1B7C3" w:rsidR="00823F72" w:rsidRPr="008B56E1" w:rsidRDefault="00823F72" w:rsidP="00AB4D08">
      <w:pPr>
        <w:spacing w:line="240" w:lineRule="auto"/>
        <w:ind w:left="567"/>
        <w:contextualSpacing/>
        <w:jc w:val="both"/>
        <w:rPr>
          <w:rFonts w:ascii="Times New Roman" w:eastAsia="Times New Roman" w:hAnsi="Times New Roman"/>
          <w:color w:val="000000"/>
          <w:sz w:val="24"/>
          <w:szCs w:val="24"/>
          <w:lang w:eastAsia="es-CO"/>
        </w:rPr>
      </w:pPr>
      <w:r w:rsidRPr="008B56E1">
        <w:rPr>
          <w:rFonts w:ascii="Times New Roman" w:hAnsi="Times New Roman"/>
          <w:sz w:val="24"/>
          <w:szCs w:val="24"/>
        </w:rPr>
        <w:t>Sobrantes IDU</w:t>
      </w:r>
      <w:r w:rsidR="008B56E1">
        <w:rPr>
          <w:rFonts w:ascii="Times New Roman" w:hAnsi="Times New Roman"/>
          <w:sz w:val="24"/>
          <w:szCs w:val="24"/>
        </w:rPr>
        <w:t xml:space="preserve"> y Transmilenio por valor de $7.</w:t>
      </w:r>
      <w:r w:rsidRPr="008B56E1">
        <w:rPr>
          <w:rFonts w:ascii="Times New Roman" w:hAnsi="Times New Roman"/>
          <w:sz w:val="24"/>
          <w:szCs w:val="24"/>
        </w:rPr>
        <w:t>256</w:t>
      </w:r>
      <w:r w:rsidR="008B56E1">
        <w:rPr>
          <w:rFonts w:ascii="Times New Roman" w:hAnsi="Times New Roman"/>
          <w:sz w:val="24"/>
          <w:szCs w:val="24"/>
        </w:rPr>
        <w:t>.</w:t>
      </w:r>
      <w:r w:rsidRPr="008B56E1">
        <w:rPr>
          <w:rFonts w:ascii="Times New Roman" w:hAnsi="Times New Roman"/>
          <w:sz w:val="24"/>
          <w:szCs w:val="24"/>
        </w:rPr>
        <w:t>073</w:t>
      </w:r>
      <w:r w:rsidR="008B56E1">
        <w:rPr>
          <w:rFonts w:ascii="Times New Roman" w:hAnsi="Times New Roman"/>
          <w:sz w:val="24"/>
          <w:szCs w:val="24"/>
        </w:rPr>
        <w:t>.</w:t>
      </w:r>
      <w:r w:rsidRPr="008B56E1">
        <w:rPr>
          <w:rFonts w:ascii="Times New Roman" w:hAnsi="Times New Roman"/>
          <w:sz w:val="24"/>
          <w:szCs w:val="24"/>
        </w:rPr>
        <w:t xml:space="preserve">040, </w:t>
      </w:r>
      <w:r w:rsidRPr="00823F72">
        <w:rPr>
          <w:rFonts w:ascii="Times New Roman" w:hAnsi="Times New Roman"/>
          <w:sz w:val="24"/>
          <w:szCs w:val="24"/>
        </w:rPr>
        <w:t xml:space="preserve">presenta un aumento del </w:t>
      </w:r>
      <w:r w:rsidRPr="00A14DF0">
        <w:rPr>
          <w:rFonts w:ascii="Times New Roman" w:hAnsi="Times New Roman"/>
          <w:sz w:val="24"/>
          <w:szCs w:val="24"/>
        </w:rPr>
        <w:t>3,74% por $261</w:t>
      </w:r>
      <w:r w:rsidR="008B56E1" w:rsidRPr="00A14DF0">
        <w:rPr>
          <w:rFonts w:ascii="Times New Roman" w:hAnsi="Times New Roman"/>
          <w:sz w:val="24"/>
          <w:szCs w:val="24"/>
        </w:rPr>
        <w:t>.</w:t>
      </w:r>
      <w:r w:rsidRPr="00A14DF0">
        <w:rPr>
          <w:rFonts w:ascii="Times New Roman" w:hAnsi="Times New Roman"/>
          <w:sz w:val="24"/>
          <w:szCs w:val="24"/>
        </w:rPr>
        <w:t>841</w:t>
      </w:r>
      <w:r w:rsidR="008B56E1" w:rsidRPr="00A14DF0">
        <w:rPr>
          <w:rFonts w:ascii="Times New Roman" w:hAnsi="Times New Roman"/>
          <w:sz w:val="24"/>
          <w:szCs w:val="24"/>
        </w:rPr>
        <w:t>.</w:t>
      </w:r>
      <w:r w:rsidRPr="00A14DF0">
        <w:rPr>
          <w:rFonts w:ascii="Times New Roman" w:hAnsi="Times New Roman"/>
          <w:sz w:val="24"/>
          <w:szCs w:val="24"/>
        </w:rPr>
        <w:t>212 como resultado del ingreso de sobrantes y ajustes al costo histórico por $</w:t>
      </w:r>
      <w:r w:rsidRPr="00A14DF0">
        <w:rPr>
          <w:rFonts w:ascii="Times New Roman" w:eastAsia="Times New Roman" w:hAnsi="Times New Roman"/>
          <w:color w:val="000000"/>
          <w:sz w:val="24"/>
          <w:szCs w:val="24"/>
          <w:lang w:eastAsia="es-CO"/>
        </w:rPr>
        <w:t>423</w:t>
      </w:r>
      <w:r w:rsidR="008B56E1" w:rsidRPr="00A14DF0">
        <w:rPr>
          <w:rFonts w:ascii="Times New Roman" w:eastAsia="Times New Roman" w:hAnsi="Times New Roman"/>
          <w:color w:val="000000"/>
          <w:sz w:val="24"/>
          <w:szCs w:val="24"/>
          <w:lang w:eastAsia="es-CO"/>
        </w:rPr>
        <w:t>.</w:t>
      </w:r>
      <w:r w:rsidRPr="00A14DF0">
        <w:rPr>
          <w:rFonts w:ascii="Times New Roman" w:eastAsia="Times New Roman" w:hAnsi="Times New Roman"/>
          <w:color w:val="000000"/>
          <w:sz w:val="24"/>
          <w:szCs w:val="24"/>
          <w:lang w:eastAsia="es-CO"/>
        </w:rPr>
        <w:t>272</w:t>
      </w:r>
      <w:r w:rsidR="008B56E1" w:rsidRPr="00A14DF0">
        <w:rPr>
          <w:rFonts w:ascii="Times New Roman" w:eastAsia="Times New Roman" w:hAnsi="Times New Roman"/>
          <w:color w:val="000000"/>
          <w:sz w:val="24"/>
          <w:szCs w:val="24"/>
          <w:lang w:eastAsia="es-CO"/>
        </w:rPr>
        <w:t>.</w:t>
      </w:r>
      <w:r w:rsidRPr="00A14DF0">
        <w:rPr>
          <w:rFonts w:ascii="Times New Roman" w:eastAsia="Times New Roman" w:hAnsi="Times New Roman"/>
          <w:color w:val="000000"/>
          <w:sz w:val="24"/>
          <w:szCs w:val="24"/>
          <w:lang w:eastAsia="es-CO"/>
        </w:rPr>
        <w:t>212</w:t>
      </w:r>
      <w:r w:rsidRPr="00823F72">
        <w:rPr>
          <w:rFonts w:ascii="Times New Roman" w:eastAsia="Times New Roman" w:hAnsi="Times New Roman"/>
          <w:color w:val="000000"/>
          <w:sz w:val="24"/>
          <w:szCs w:val="24"/>
          <w:lang w:eastAsia="es-CO"/>
        </w:rPr>
        <w:t xml:space="preserve"> y retiro de sobrantes por convertirse en espacio público por $161</w:t>
      </w:r>
      <w:r w:rsidR="008B56E1">
        <w:rPr>
          <w:rFonts w:ascii="Times New Roman" w:eastAsia="Times New Roman" w:hAnsi="Times New Roman"/>
          <w:color w:val="000000"/>
          <w:sz w:val="24"/>
          <w:szCs w:val="24"/>
          <w:lang w:eastAsia="es-CO"/>
        </w:rPr>
        <w:t>.</w:t>
      </w:r>
      <w:r w:rsidRPr="00823F72">
        <w:rPr>
          <w:rFonts w:ascii="Times New Roman" w:eastAsia="Times New Roman" w:hAnsi="Times New Roman"/>
          <w:color w:val="000000"/>
          <w:sz w:val="24"/>
          <w:szCs w:val="24"/>
          <w:lang w:eastAsia="es-CO"/>
        </w:rPr>
        <w:t>431</w:t>
      </w:r>
      <w:r w:rsidR="008B56E1">
        <w:rPr>
          <w:rFonts w:ascii="Times New Roman" w:eastAsia="Times New Roman" w:hAnsi="Times New Roman"/>
          <w:color w:val="000000"/>
          <w:sz w:val="24"/>
          <w:szCs w:val="24"/>
          <w:lang w:eastAsia="es-CO"/>
        </w:rPr>
        <w:t>.</w:t>
      </w:r>
      <w:r w:rsidRPr="00823F72">
        <w:rPr>
          <w:rFonts w:ascii="Times New Roman" w:eastAsia="Times New Roman" w:hAnsi="Times New Roman"/>
          <w:color w:val="000000"/>
          <w:sz w:val="24"/>
          <w:szCs w:val="24"/>
          <w:lang w:eastAsia="es-CO"/>
        </w:rPr>
        <w:t>000.</w:t>
      </w:r>
    </w:p>
    <w:p w14:paraId="3B63540F" w14:textId="77777777" w:rsidR="008B56E1" w:rsidRDefault="008B56E1" w:rsidP="00AB4D08">
      <w:pPr>
        <w:spacing w:line="240" w:lineRule="auto"/>
        <w:ind w:left="567"/>
        <w:contextualSpacing/>
        <w:jc w:val="both"/>
        <w:rPr>
          <w:rFonts w:ascii="Times New Roman" w:hAnsi="Times New Roman"/>
          <w:sz w:val="24"/>
          <w:szCs w:val="24"/>
        </w:rPr>
      </w:pPr>
    </w:p>
    <w:p w14:paraId="063E7D00" w14:textId="4F8D1F2F" w:rsidR="00823F72" w:rsidRPr="00823F72" w:rsidRDefault="00823F72" w:rsidP="00AB4D08">
      <w:pPr>
        <w:spacing w:line="240" w:lineRule="auto"/>
        <w:ind w:left="567"/>
        <w:contextualSpacing/>
        <w:jc w:val="both"/>
        <w:rPr>
          <w:rFonts w:ascii="Times New Roman" w:hAnsi="Times New Roman"/>
          <w:sz w:val="24"/>
          <w:szCs w:val="24"/>
        </w:rPr>
      </w:pPr>
      <w:r w:rsidRPr="008B56E1">
        <w:rPr>
          <w:rFonts w:ascii="Times New Roman" w:hAnsi="Times New Roman"/>
          <w:sz w:val="24"/>
          <w:szCs w:val="24"/>
        </w:rPr>
        <w:t>Sobrantes en Poder de Terceros por valor de $502</w:t>
      </w:r>
      <w:r w:rsidR="008B56E1">
        <w:rPr>
          <w:rFonts w:ascii="Times New Roman" w:hAnsi="Times New Roman"/>
          <w:sz w:val="24"/>
          <w:szCs w:val="24"/>
        </w:rPr>
        <w:t>.</w:t>
      </w:r>
      <w:r w:rsidRPr="008B56E1">
        <w:rPr>
          <w:rFonts w:ascii="Times New Roman" w:hAnsi="Times New Roman"/>
          <w:sz w:val="24"/>
          <w:szCs w:val="24"/>
        </w:rPr>
        <w:t>851</w:t>
      </w:r>
      <w:r w:rsidR="008B56E1">
        <w:rPr>
          <w:rFonts w:ascii="Times New Roman" w:hAnsi="Times New Roman"/>
          <w:sz w:val="24"/>
          <w:szCs w:val="24"/>
        </w:rPr>
        <w:t>.</w:t>
      </w:r>
      <w:r w:rsidRPr="008B56E1">
        <w:rPr>
          <w:rFonts w:ascii="Times New Roman" w:hAnsi="Times New Roman"/>
          <w:sz w:val="24"/>
          <w:szCs w:val="24"/>
        </w:rPr>
        <w:t>586,</w:t>
      </w:r>
      <w:r w:rsidRPr="00823F72">
        <w:rPr>
          <w:rFonts w:ascii="Times New Roman" w:hAnsi="Times New Roman"/>
          <w:b/>
          <w:sz w:val="24"/>
          <w:szCs w:val="24"/>
        </w:rPr>
        <w:t xml:space="preserve"> </w:t>
      </w:r>
      <w:r w:rsidRPr="00823F72">
        <w:rPr>
          <w:rFonts w:ascii="Times New Roman" w:hAnsi="Times New Roman"/>
          <w:spacing w:val="-3"/>
          <w:sz w:val="24"/>
          <w:szCs w:val="24"/>
        </w:rPr>
        <w:t>presenta un aumento en relación con la vigencia anterior por $106</w:t>
      </w:r>
      <w:r w:rsidR="008D7DC2">
        <w:rPr>
          <w:rFonts w:ascii="Times New Roman" w:hAnsi="Times New Roman"/>
          <w:spacing w:val="-3"/>
          <w:sz w:val="24"/>
          <w:szCs w:val="24"/>
        </w:rPr>
        <w:t>.</w:t>
      </w:r>
      <w:r w:rsidRPr="00823F72">
        <w:rPr>
          <w:rFonts w:ascii="Times New Roman" w:hAnsi="Times New Roman"/>
          <w:spacing w:val="-3"/>
          <w:sz w:val="24"/>
          <w:szCs w:val="24"/>
        </w:rPr>
        <w:t>150</w:t>
      </w:r>
      <w:r w:rsidR="008D7DC2">
        <w:rPr>
          <w:rFonts w:ascii="Times New Roman" w:hAnsi="Times New Roman"/>
          <w:spacing w:val="-3"/>
          <w:sz w:val="24"/>
          <w:szCs w:val="24"/>
        </w:rPr>
        <w:t>.</w:t>
      </w:r>
      <w:r w:rsidRPr="00823F72">
        <w:rPr>
          <w:rFonts w:ascii="Times New Roman" w:hAnsi="Times New Roman"/>
          <w:spacing w:val="-3"/>
          <w:sz w:val="24"/>
          <w:szCs w:val="24"/>
        </w:rPr>
        <w:t>038</w:t>
      </w:r>
      <w:r w:rsidR="008D7DC2">
        <w:rPr>
          <w:rFonts w:ascii="Times New Roman" w:hAnsi="Times New Roman"/>
          <w:spacing w:val="-3"/>
          <w:sz w:val="24"/>
          <w:szCs w:val="24"/>
        </w:rPr>
        <w:t>,</w:t>
      </w:r>
      <w:r w:rsidRPr="00823F72">
        <w:rPr>
          <w:rFonts w:ascii="Times New Roman" w:hAnsi="Times New Roman"/>
          <w:spacing w:val="-3"/>
          <w:sz w:val="24"/>
          <w:szCs w:val="24"/>
        </w:rPr>
        <w:t xml:space="preserve"> debido a modificación del costo histórico.</w:t>
      </w:r>
    </w:p>
    <w:p w14:paraId="73F23758" w14:textId="77777777" w:rsidR="008D7DC2" w:rsidRDefault="008D7DC2" w:rsidP="00AB4D08">
      <w:pPr>
        <w:spacing w:line="240" w:lineRule="auto"/>
        <w:ind w:left="567"/>
        <w:contextualSpacing/>
        <w:jc w:val="both"/>
        <w:rPr>
          <w:rFonts w:ascii="Times New Roman" w:hAnsi="Times New Roman"/>
          <w:sz w:val="24"/>
          <w:szCs w:val="24"/>
        </w:rPr>
      </w:pPr>
    </w:p>
    <w:p w14:paraId="264E0E8A" w14:textId="77777777" w:rsidR="00823F72" w:rsidRPr="008B56E1" w:rsidRDefault="00823F72" w:rsidP="00AB4D08">
      <w:pPr>
        <w:spacing w:line="240" w:lineRule="auto"/>
        <w:ind w:left="567"/>
        <w:contextualSpacing/>
        <w:jc w:val="both"/>
        <w:rPr>
          <w:rFonts w:ascii="Times New Roman" w:hAnsi="Times New Roman"/>
          <w:sz w:val="24"/>
          <w:szCs w:val="24"/>
        </w:rPr>
      </w:pPr>
      <w:r w:rsidRPr="00823F72">
        <w:rPr>
          <w:rFonts w:ascii="Times New Roman" w:hAnsi="Times New Roman"/>
          <w:sz w:val="24"/>
          <w:szCs w:val="24"/>
        </w:rPr>
        <w:t>Estos predios en poder de terceros se derivan de</w:t>
      </w:r>
      <w:r w:rsidRPr="00823F72">
        <w:rPr>
          <w:rFonts w:ascii="Times New Roman" w:hAnsi="Times New Roman"/>
          <w:b/>
          <w:sz w:val="24"/>
          <w:szCs w:val="24"/>
        </w:rPr>
        <w:t xml:space="preserve"> </w:t>
      </w:r>
      <w:r w:rsidRPr="00823F72">
        <w:rPr>
          <w:rFonts w:ascii="Times New Roman" w:hAnsi="Times New Roman"/>
          <w:sz w:val="24"/>
          <w:szCs w:val="24"/>
        </w:rPr>
        <w:t>la suscripción de los siguientes Convenios y Contratos de Comodato:</w:t>
      </w:r>
    </w:p>
    <w:p w14:paraId="1B909E0D" w14:textId="6CBBCFC2" w:rsidR="00823F72" w:rsidRDefault="00823F72" w:rsidP="00AB4D08">
      <w:pPr>
        <w:pStyle w:val="Default"/>
        <w:numPr>
          <w:ilvl w:val="0"/>
          <w:numId w:val="43"/>
        </w:numPr>
        <w:contextualSpacing/>
        <w:jc w:val="both"/>
        <w:rPr>
          <w:rFonts w:ascii="Times New Roman" w:hAnsi="Times New Roman" w:cs="Times New Roman"/>
          <w:bCs/>
          <w:color w:val="auto"/>
        </w:rPr>
      </w:pPr>
      <w:r w:rsidRPr="008B56E1">
        <w:rPr>
          <w:rFonts w:ascii="Times New Roman" w:hAnsi="Times New Roman" w:cs="Times New Roman"/>
          <w:bCs/>
          <w:color w:val="auto"/>
        </w:rPr>
        <w:lastRenderedPageBreak/>
        <w:t>Convenio Interadministrativo N° 1306/2015 celebrado con el Departamento Administrativo de la Defensoría del Espacio Público.</w:t>
      </w:r>
    </w:p>
    <w:p w14:paraId="5730975D" w14:textId="77777777" w:rsidR="008D7DC2" w:rsidRPr="008B56E1" w:rsidRDefault="008D7DC2" w:rsidP="00AB4D08">
      <w:pPr>
        <w:pStyle w:val="Default"/>
        <w:ind w:left="567"/>
        <w:contextualSpacing/>
        <w:jc w:val="both"/>
        <w:rPr>
          <w:rFonts w:ascii="Times New Roman" w:hAnsi="Times New Roman" w:cs="Times New Roman"/>
          <w:bCs/>
          <w:color w:val="auto"/>
        </w:rPr>
      </w:pPr>
    </w:p>
    <w:p w14:paraId="160C0B01"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 xml:space="preserve">Estado actual: En ejecución. </w:t>
      </w:r>
    </w:p>
    <w:p w14:paraId="670ED444"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 xml:space="preserve">Fecha de suscripción: 14 de mayo de 2015 </w:t>
      </w:r>
    </w:p>
    <w:p w14:paraId="3EF229AB"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 xml:space="preserve">Plazo: cinco (5) años a partir de su suscripción. </w:t>
      </w:r>
    </w:p>
    <w:p w14:paraId="6B354D5A"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Fecha de terminación: 13 de mayo de 2020.</w:t>
      </w:r>
    </w:p>
    <w:p w14:paraId="76E5536D" w14:textId="77777777" w:rsidR="00823F72" w:rsidRPr="008B56E1" w:rsidRDefault="00823F72" w:rsidP="00AB4D08">
      <w:pPr>
        <w:pStyle w:val="Default"/>
        <w:ind w:left="567"/>
        <w:contextualSpacing/>
        <w:jc w:val="both"/>
        <w:rPr>
          <w:rFonts w:ascii="Times New Roman" w:hAnsi="Times New Roman" w:cs="Times New Roman"/>
          <w:color w:val="FF0000"/>
        </w:rPr>
      </w:pPr>
    </w:p>
    <w:p w14:paraId="56BE85CA" w14:textId="1C6E0D7E" w:rsidR="00823F72" w:rsidRPr="008D7DC2" w:rsidRDefault="00823F72" w:rsidP="00AB4D08">
      <w:pPr>
        <w:pStyle w:val="Prrafodelista"/>
        <w:numPr>
          <w:ilvl w:val="0"/>
          <w:numId w:val="43"/>
        </w:numPr>
        <w:spacing w:line="240" w:lineRule="auto"/>
        <w:jc w:val="both"/>
        <w:rPr>
          <w:rFonts w:ascii="Times New Roman" w:hAnsi="Times New Roman"/>
          <w:bCs/>
          <w:sz w:val="24"/>
          <w:szCs w:val="24"/>
        </w:rPr>
      </w:pPr>
      <w:r w:rsidRPr="008D7DC2">
        <w:rPr>
          <w:rFonts w:ascii="Times New Roman" w:hAnsi="Times New Roman"/>
          <w:bCs/>
          <w:sz w:val="24"/>
          <w:szCs w:val="24"/>
        </w:rPr>
        <w:t xml:space="preserve">Convenio Interadministrativo N° 902/2015 celebrado con la Secretaria Distrital de Integración Social. </w:t>
      </w:r>
    </w:p>
    <w:p w14:paraId="661F86B3"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 xml:space="preserve">Estado actual: En ejecución. </w:t>
      </w:r>
    </w:p>
    <w:p w14:paraId="627F6594" w14:textId="77777777" w:rsidR="00823F72" w:rsidRPr="00823F72" w:rsidRDefault="00823F72" w:rsidP="00AB4D08">
      <w:pPr>
        <w:pStyle w:val="Default"/>
        <w:ind w:left="567"/>
        <w:contextualSpacing/>
        <w:jc w:val="both"/>
        <w:rPr>
          <w:rFonts w:ascii="Times New Roman" w:hAnsi="Times New Roman" w:cs="Times New Roman"/>
          <w:color w:val="auto"/>
        </w:rPr>
      </w:pPr>
      <w:r w:rsidRPr="00823F72">
        <w:rPr>
          <w:rFonts w:ascii="Times New Roman" w:hAnsi="Times New Roman" w:cs="Times New Roman"/>
          <w:color w:val="auto"/>
        </w:rPr>
        <w:t xml:space="preserve">Fecha de inicio: 25/03/2015. </w:t>
      </w:r>
    </w:p>
    <w:p w14:paraId="198C976E" w14:textId="4C68D5D4" w:rsidR="00823F72" w:rsidRPr="00823F72" w:rsidRDefault="00823F72" w:rsidP="00AB4D08">
      <w:pPr>
        <w:pStyle w:val="Prrafodelista"/>
        <w:spacing w:after="0" w:line="240" w:lineRule="auto"/>
        <w:ind w:left="567"/>
        <w:jc w:val="both"/>
        <w:rPr>
          <w:rFonts w:ascii="Times New Roman" w:hAnsi="Times New Roman"/>
          <w:sz w:val="24"/>
          <w:szCs w:val="24"/>
        </w:rPr>
      </w:pPr>
      <w:r w:rsidRPr="00823F72">
        <w:rPr>
          <w:rFonts w:ascii="Times New Roman" w:hAnsi="Times New Roman"/>
          <w:sz w:val="24"/>
          <w:szCs w:val="24"/>
        </w:rPr>
        <w:t>Fecha de terminación: 24/03/2020.</w:t>
      </w:r>
    </w:p>
    <w:p w14:paraId="7002E448" w14:textId="446BEDA6" w:rsidR="00804357" w:rsidRDefault="008D7DC2" w:rsidP="00AB4D08">
      <w:pPr>
        <w:spacing w:after="0" w:line="240" w:lineRule="auto"/>
        <w:contextualSpacing/>
        <w:jc w:val="both"/>
        <w:rPr>
          <w:rFonts w:ascii="Times New Roman" w:hAnsi="Times New Roman"/>
          <w:sz w:val="24"/>
          <w:szCs w:val="24"/>
        </w:rPr>
      </w:pPr>
      <w:r>
        <w:rPr>
          <w:rFonts w:ascii="Times New Roman" w:hAnsi="Times New Roman"/>
          <w:sz w:val="24"/>
          <w:szCs w:val="24"/>
        </w:rPr>
        <w:tab/>
      </w:r>
    </w:p>
    <w:p w14:paraId="6CE59AA3" w14:textId="6DA5E00B" w:rsidR="00804357" w:rsidRPr="00823F72" w:rsidRDefault="00667816" w:rsidP="00AB4D08">
      <w:pPr>
        <w:pStyle w:val="Ttulo2"/>
        <w:numPr>
          <w:ilvl w:val="1"/>
          <w:numId w:val="26"/>
        </w:numPr>
        <w:spacing w:line="240" w:lineRule="auto"/>
        <w:ind w:left="567" w:hanging="567"/>
        <w:contextualSpacing/>
        <w:rPr>
          <w:rFonts w:cs="Times New Roman"/>
          <w:szCs w:val="24"/>
        </w:rPr>
      </w:pPr>
      <w:bookmarkStart w:id="44" w:name="_Toc32317259"/>
      <w:r>
        <w:rPr>
          <w:rFonts w:cs="Times New Roman"/>
          <w:szCs w:val="24"/>
        </w:rPr>
        <w:t>Deterioro de predios sobrantes</w:t>
      </w:r>
      <w:bookmarkEnd w:id="44"/>
    </w:p>
    <w:p w14:paraId="3F6A4498" w14:textId="77777777" w:rsidR="00804357" w:rsidRDefault="00804357" w:rsidP="00AB4D08">
      <w:pPr>
        <w:spacing w:after="0" w:line="240" w:lineRule="auto"/>
        <w:ind w:left="720"/>
        <w:contextualSpacing/>
        <w:jc w:val="both"/>
        <w:rPr>
          <w:rFonts w:ascii="Times New Roman" w:hAnsi="Times New Roman"/>
          <w:sz w:val="24"/>
          <w:szCs w:val="24"/>
        </w:rPr>
      </w:pPr>
    </w:p>
    <w:p w14:paraId="0F90E708" w14:textId="77BE421D" w:rsidR="00667816" w:rsidRPr="00EB0EDD" w:rsidRDefault="00E27D5B" w:rsidP="00AB4D08">
      <w:pPr>
        <w:spacing w:after="0" w:line="240" w:lineRule="auto"/>
        <w:ind w:left="567"/>
        <w:contextualSpacing/>
        <w:jc w:val="both"/>
        <w:rPr>
          <w:rFonts w:ascii="Times New Roman" w:hAnsi="Times New Roman"/>
          <w:spacing w:val="-3"/>
          <w:sz w:val="24"/>
          <w:szCs w:val="24"/>
        </w:rPr>
      </w:pPr>
      <w:r w:rsidRPr="00EB0EDD">
        <w:rPr>
          <w:rFonts w:ascii="Times New Roman" w:hAnsi="Times New Roman"/>
          <w:spacing w:val="-3"/>
          <w:sz w:val="24"/>
          <w:szCs w:val="24"/>
        </w:rPr>
        <w:t>El saldo de deterioro, con corte a  31 de diciembre de 2019, asciende a</w:t>
      </w:r>
      <w:r w:rsidR="00BA113B" w:rsidRPr="00EB0EDD">
        <w:rPr>
          <w:rFonts w:ascii="Times New Roman" w:hAnsi="Times New Roman"/>
          <w:spacing w:val="-3"/>
          <w:sz w:val="24"/>
          <w:szCs w:val="24"/>
        </w:rPr>
        <w:t xml:space="preserve"> $229.702.062</w:t>
      </w:r>
      <w:r w:rsidRPr="00EB0EDD">
        <w:rPr>
          <w:rFonts w:ascii="Times New Roman" w:hAnsi="Times New Roman"/>
          <w:spacing w:val="-3"/>
          <w:sz w:val="24"/>
          <w:szCs w:val="24"/>
        </w:rPr>
        <w:t xml:space="preserve">; </w:t>
      </w:r>
      <w:r w:rsidR="00364E19" w:rsidRPr="00EB0EDD">
        <w:rPr>
          <w:rFonts w:ascii="Times New Roman" w:hAnsi="Times New Roman"/>
          <w:spacing w:val="-3"/>
          <w:sz w:val="24"/>
          <w:szCs w:val="24"/>
        </w:rPr>
        <w:t>con rel</w:t>
      </w:r>
      <w:r w:rsidRPr="00EB0EDD">
        <w:rPr>
          <w:rFonts w:ascii="Times New Roman" w:hAnsi="Times New Roman"/>
          <w:spacing w:val="-3"/>
          <w:sz w:val="24"/>
          <w:szCs w:val="24"/>
        </w:rPr>
        <w:t xml:space="preserve">ación a la vigencia anterior, se presenta un aumento de </w:t>
      </w:r>
      <w:r w:rsidR="00BA113B" w:rsidRPr="00EB0EDD">
        <w:rPr>
          <w:rFonts w:ascii="Times New Roman" w:hAnsi="Times New Roman"/>
          <w:spacing w:val="-3"/>
          <w:sz w:val="24"/>
          <w:szCs w:val="24"/>
        </w:rPr>
        <w:t xml:space="preserve">$140.925.762, </w:t>
      </w:r>
      <w:r w:rsidRPr="00EB0EDD">
        <w:rPr>
          <w:rFonts w:ascii="Times New Roman" w:hAnsi="Times New Roman"/>
          <w:spacing w:val="-3"/>
          <w:sz w:val="24"/>
          <w:szCs w:val="24"/>
        </w:rPr>
        <w:t xml:space="preserve">explicado por el cálculo </w:t>
      </w:r>
      <w:r w:rsidR="00EB0EDD" w:rsidRPr="00EB0EDD">
        <w:rPr>
          <w:rFonts w:ascii="Times New Roman" w:hAnsi="Times New Roman"/>
          <w:spacing w:val="-3"/>
          <w:sz w:val="24"/>
          <w:szCs w:val="24"/>
        </w:rPr>
        <w:t xml:space="preserve">que incrementa </w:t>
      </w:r>
      <w:r w:rsidRPr="00EB0EDD">
        <w:rPr>
          <w:rFonts w:ascii="Times New Roman" w:hAnsi="Times New Roman"/>
          <w:spacing w:val="-3"/>
          <w:sz w:val="24"/>
          <w:szCs w:val="24"/>
        </w:rPr>
        <w:t xml:space="preserve">el deterioro de </w:t>
      </w:r>
      <w:r w:rsidR="00BA113B" w:rsidRPr="00EB0EDD">
        <w:rPr>
          <w:rFonts w:ascii="Times New Roman" w:hAnsi="Times New Roman"/>
          <w:spacing w:val="-3"/>
          <w:sz w:val="24"/>
          <w:szCs w:val="24"/>
        </w:rPr>
        <w:t>seis (6) predios sobrantes en la vigencia 2019 por valor de $</w:t>
      </w:r>
      <w:r w:rsidR="00BA113B" w:rsidRPr="00EB0EDD">
        <w:rPr>
          <w:rFonts w:ascii="Times New Roman" w:eastAsia="Times New Roman" w:hAnsi="Times New Roman"/>
          <w:sz w:val="24"/>
          <w:szCs w:val="24"/>
          <w:lang w:eastAsia="es-CO"/>
        </w:rPr>
        <w:t>163.720.129 y</w:t>
      </w:r>
      <w:r w:rsidRPr="00EB0EDD">
        <w:rPr>
          <w:rFonts w:ascii="Times New Roman" w:eastAsia="Times New Roman" w:hAnsi="Times New Roman"/>
          <w:sz w:val="24"/>
          <w:szCs w:val="24"/>
          <w:lang w:eastAsia="es-CO"/>
        </w:rPr>
        <w:t xml:space="preserve"> </w:t>
      </w:r>
      <w:r w:rsidR="00EB0EDD" w:rsidRPr="00EB0EDD">
        <w:rPr>
          <w:rFonts w:ascii="Times New Roman" w:eastAsia="Times New Roman" w:hAnsi="Times New Roman"/>
          <w:sz w:val="24"/>
          <w:szCs w:val="24"/>
          <w:lang w:eastAsia="es-CO"/>
        </w:rPr>
        <w:t xml:space="preserve">disminución en el cálculo de deterioro  de tres </w:t>
      </w:r>
      <w:r w:rsidR="00BA113B" w:rsidRPr="00EB0EDD">
        <w:rPr>
          <w:rFonts w:ascii="Times New Roman" w:eastAsia="Times New Roman" w:hAnsi="Times New Roman"/>
          <w:sz w:val="24"/>
          <w:szCs w:val="24"/>
          <w:lang w:eastAsia="es-CO"/>
        </w:rPr>
        <w:t xml:space="preserve">(3) predios sobrantes </w:t>
      </w:r>
      <w:r w:rsidR="00EB0EDD" w:rsidRPr="00EB0EDD">
        <w:rPr>
          <w:rFonts w:ascii="Times New Roman" w:eastAsia="Times New Roman" w:hAnsi="Times New Roman"/>
          <w:sz w:val="24"/>
          <w:szCs w:val="24"/>
          <w:lang w:eastAsia="es-CO"/>
        </w:rPr>
        <w:t xml:space="preserve">por </w:t>
      </w:r>
      <w:r w:rsidR="00BA113B" w:rsidRPr="00EB0EDD">
        <w:rPr>
          <w:rFonts w:ascii="Times New Roman" w:eastAsia="Times New Roman" w:hAnsi="Times New Roman"/>
          <w:sz w:val="24"/>
          <w:szCs w:val="24"/>
          <w:lang w:eastAsia="es-CO"/>
        </w:rPr>
        <w:t>valor de $22.794.367.</w:t>
      </w:r>
      <w:r w:rsidR="0033143C" w:rsidRPr="00EB0EDD">
        <w:rPr>
          <w:rFonts w:ascii="Times New Roman" w:eastAsia="Times New Roman" w:hAnsi="Times New Roman"/>
          <w:sz w:val="24"/>
          <w:szCs w:val="24"/>
          <w:lang w:eastAsia="es-CO"/>
        </w:rPr>
        <w:tab/>
      </w:r>
    </w:p>
    <w:p w14:paraId="70A653F6" w14:textId="77777777" w:rsidR="0033143C" w:rsidRDefault="0033143C" w:rsidP="00AB4D08">
      <w:pPr>
        <w:spacing w:after="0" w:line="240" w:lineRule="auto"/>
        <w:ind w:left="567"/>
        <w:contextualSpacing/>
        <w:jc w:val="both"/>
        <w:rPr>
          <w:rFonts w:ascii="Times New Roman" w:hAnsi="Times New Roman"/>
          <w:sz w:val="24"/>
          <w:szCs w:val="24"/>
        </w:rPr>
      </w:pPr>
    </w:p>
    <w:p w14:paraId="0CD27377" w14:textId="77777777" w:rsidR="0033143C" w:rsidRDefault="0033143C" w:rsidP="00AB4D08">
      <w:pPr>
        <w:spacing w:line="240" w:lineRule="auto"/>
        <w:ind w:left="567"/>
        <w:contextualSpacing/>
        <w:jc w:val="both"/>
        <w:rPr>
          <w:rFonts w:ascii="Times New Roman" w:eastAsia="Times New Roman" w:hAnsi="Times New Roman"/>
          <w:sz w:val="24"/>
          <w:szCs w:val="24"/>
          <w:lang w:eastAsia="es-CO"/>
        </w:rPr>
      </w:pPr>
      <w:r w:rsidRPr="005C1EC5">
        <w:rPr>
          <w:rFonts w:ascii="Times New Roman" w:eastAsia="Times New Roman" w:hAnsi="Times New Roman"/>
          <w:sz w:val="24"/>
          <w:szCs w:val="24"/>
          <w:lang w:eastAsia="es-CO"/>
        </w:rPr>
        <w:t>Los siguientes pre</w:t>
      </w:r>
      <w:r>
        <w:rPr>
          <w:rFonts w:ascii="Times New Roman" w:eastAsia="Times New Roman" w:hAnsi="Times New Roman"/>
          <w:sz w:val="24"/>
          <w:szCs w:val="24"/>
          <w:lang w:eastAsia="es-CO"/>
        </w:rPr>
        <w:t>dios sobrantes IDU, registraron deterioro, según lo reportado por la Dirección Técnica de Predios:</w:t>
      </w:r>
    </w:p>
    <w:p w14:paraId="6885C212" w14:textId="77777777" w:rsidR="0033143C" w:rsidRDefault="0033143C" w:rsidP="00AB4D08">
      <w:pPr>
        <w:spacing w:line="240" w:lineRule="auto"/>
        <w:ind w:left="567"/>
        <w:contextualSpacing/>
        <w:jc w:val="both"/>
        <w:rPr>
          <w:rFonts w:ascii="Times New Roman" w:eastAsia="Times New Roman" w:hAnsi="Times New Roman"/>
          <w:sz w:val="24"/>
          <w:szCs w:val="24"/>
          <w:lang w:eastAsia="es-CO"/>
        </w:rPr>
      </w:pPr>
    </w:p>
    <w:p w14:paraId="6E73203A" w14:textId="05763316" w:rsidR="0033143C" w:rsidRDefault="0033143C" w:rsidP="00AB4D08">
      <w:pPr>
        <w:spacing w:line="240" w:lineRule="auto"/>
        <w:ind w:left="567"/>
        <w:contextualSpacing/>
        <w:jc w:val="both"/>
        <w:rPr>
          <w:rFonts w:ascii="Times New Roman" w:eastAsia="Times New Roman" w:hAnsi="Times New Roman"/>
          <w:sz w:val="24"/>
          <w:szCs w:val="24"/>
          <w:lang w:eastAsia="es-CO"/>
        </w:rPr>
      </w:pPr>
      <w:r>
        <w:rPr>
          <w:noProof/>
          <w:lang w:eastAsia="es-CO"/>
        </w:rPr>
        <w:drawing>
          <wp:inline distT="0" distB="0" distL="0" distR="0" wp14:anchorId="229293BB" wp14:editId="6C3A445F">
            <wp:extent cx="5391150" cy="1133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1150" cy="1133475"/>
                    </a:xfrm>
                    <a:prstGeom prst="rect">
                      <a:avLst/>
                    </a:prstGeom>
                  </pic:spPr>
                </pic:pic>
              </a:graphicData>
            </a:graphic>
          </wp:inline>
        </w:drawing>
      </w:r>
    </w:p>
    <w:p w14:paraId="3FB467AA" w14:textId="77777777" w:rsidR="007241F7" w:rsidRPr="007241F7" w:rsidRDefault="007241F7" w:rsidP="00AB4D08">
      <w:pPr>
        <w:spacing w:line="240" w:lineRule="auto"/>
        <w:ind w:left="567"/>
        <w:contextualSpacing/>
        <w:jc w:val="both"/>
        <w:rPr>
          <w:rFonts w:ascii="Times New Roman" w:hAnsi="Times New Roman"/>
          <w:sz w:val="24"/>
          <w:szCs w:val="24"/>
        </w:rPr>
      </w:pPr>
      <w:r w:rsidRPr="007241F7">
        <w:rPr>
          <w:rFonts w:ascii="Times New Roman" w:hAnsi="Times New Roman"/>
          <w:sz w:val="24"/>
          <w:szCs w:val="24"/>
        </w:rPr>
        <w:t>Es importante mencionar que una vez, verificadas las Bases y analizados los indicios de deterioro, se evidencia que se registra deterioro para estos tres sobrantes debido a que el valor del costo histórico es mayor que el costo de reposición, lo anterior obedece a que los predios a la fecha han sido clasificados como zonas de Vías, Lote del Estado y No urbanizable – Suelo Protegido respectivamente, en el SIIC de la Unidad Administrativa Especial de Catastro Distrital (UAECD), lo cual disminuye su valor catastral.</w:t>
      </w:r>
    </w:p>
    <w:p w14:paraId="45D9191D" w14:textId="77777777" w:rsidR="00672EA9" w:rsidRDefault="00672EA9" w:rsidP="00AB4D08">
      <w:pPr>
        <w:spacing w:after="0" w:line="240" w:lineRule="auto"/>
        <w:ind w:left="567"/>
        <w:contextualSpacing/>
        <w:jc w:val="both"/>
        <w:rPr>
          <w:rFonts w:ascii="Times New Roman" w:hAnsi="Times New Roman"/>
          <w:spacing w:val="-3"/>
          <w:sz w:val="24"/>
          <w:szCs w:val="24"/>
        </w:rPr>
      </w:pPr>
    </w:p>
    <w:p w14:paraId="37EFFD3A" w14:textId="1A0E45A1" w:rsidR="0033143C" w:rsidRDefault="007241F7" w:rsidP="00AB4D08">
      <w:pPr>
        <w:spacing w:after="0" w:line="240" w:lineRule="auto"/>
        <w:ind w:left="567"/>
        <w:contextualSpacing/>
        <w:jc w:val="both"/>
        <w:rPr>
          <w:rFonts w:ascii="Times New Roman" w:hAnsi="Times New Roman"/>
          <w:spacing w:val="-3"/>
          <w:sz w:val="24"/>
          <w:szCs w:val="24"/>
        </w:rPr>
      </w:pPr>
      <w:r w:rsidRPr="007241F7">
        <w:rPr>
          <w:rFonts w:ascii="Times New Roman" w:hAnsi="Times New Roman"/>
          <w:spacing w:val="-3"/>
          <w:sz w:val="24"/>
          <w:szCs w:val="24"/>
        </w:rPr>
        <w:t>El RT 35117B, presentó la siguiente información al 31 de Diciembre de 2018:</w:t>
      </w:r>
    </w:p>
    <w:p w14:paraId="4F7AF02A" w14:textId="77777777" w:rsidR="003D16FB" w:rsidRDefault="003D16FB" w:rsidP="00AB4D08">
      <w:pPr>
        <w:spacing w:after="0" w:line="240" w:lineRule="auto"/>
        <w:ind w:left="567"/>
        <w:contextualSpacing/>
        <w:jc w:val="both"/>
        <w:rPr>
          <w:rFonts w:ascii="Times New Roman" w:hAnsi="Times New Roman"/>
          <w:spacing w:val="-3"/>
          <w:sz w:val="24"/>
          <w:szCs w:val="24"/>
        </w:rPr>
      </w:pPr>
    </w:p>
    <w:p w14:paraId="344FB60B" w14:textId="7107857B" w:rsidR="007241F7" w:rsidRPr="007241F7" w:rsidRDefault="007241F7" w:rsidP="00AB4D08">
      <w:pPr>
        <w:spacing w:after="0" w:line="240" w:lineRule="auto"/>
        <w:ind w:left="567"/>
        <w:contextualSpacing/>
        <w:jc w:val="both"/>
        <w:rPr>
          <w:rFonts w:ascii="Times New Roman" w:hAnsi="Times New Roman"/>
          <w:sz w:val="24"/>
          <w:szCs w:val="24"/>
        </w:rPr>
      </w:pPr>
      <w:r>
        <w:rPr>
          <w:noProof/>
          <w:lang w:eastAsia="es-CO"/>
        </w:rPr>
        <w:drawing>
          <wp:inline distT="0" distB="0" distL="0" distR="0" wp14:anchorId="4898B672" wp14:editId="33491730">
            <wp:extent cx="5791835" cy="7265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726559"/>
                    </a:xfrm>
                    <a:prstGeom prst="rect">
                      <a:avLst/>
                    </a:prstGeom>
                  </pic:spPr>
                </pic:pic>
              </a:graphicData>
            </a:graphic>
          </wp:inline>
        </w:drawing>
      </w:r>
    </w:p>
    <w:p w14:paraId="41385352" w14:textId="65A801F7" w:rsidR="007241F7" w:rsidRDefault="007241F7" w:rsidP="00AB4D08">
      <w:pPr>
        <w:spacing w:line="240" w:lineRule="auto"/>
        <w:ind w:left="567"/>
        <w:contextualSpacing/>
        <w:jc w:val="both"/>
        <w:rPr>
          <w:rFonts w:ascii="Times New Roman" w:hAnsi="Times New Roman"/>
          <w:sz w:val="24"/>
          <w:szCs w:val="24"/>
        </w:rPr>
      </w:pPr>
      <w:r>
        <w:rPr>
          <w:rFonts w:ascii="Times New Roman" w:hAnsi="Times New Roman"/>
          <w:sz w:val="24"/>
          <w:szCs w:val="24"/>
        </w:rPr>
        <w:lastRenderedPageBreak/>
        <w:t>Como se puede observar el valor del Costo de reposición fue inferior al determinado por la UAECD para este año, por lo que se presenta una disminución del deterioro para esta vigencia por $</w:t>
      </w:r>
      <w:r w:rsidRPr="005C5D5E">
        <w:rPr>
          <w:rFonts w:ascii="Times New Roman" w:hAnsi="Times New Roman"/>
          <w:sz w:val="24"/>
          <w:szCs w:val="24"/>
        </w:rPr>
        <w:t>4</w:t>
      </w:r>
      <w:r>
        <w:rPr>
          <w:rFonts w:ascii="Times New Roman" w:hAnsi="Times New Roman"/>
          <w:sz w:val="24"/>
          <w:szCs w:val="24"/>
        </w:rPr>
        <w:t>.</w:t>
      </w:r>
      <w:r w:rsidRPr="005C5D5E">
        <w:rPr>
          <w:rFonts w:ascii="Times New Roman" w:hAnsi="Times New Roman"/>
          <w:sz w:val="24"/>
          <w:szCs w:val="24"/>
        </w:rPr>
        <w:t>748</w:t>
      </w:r>
      <w:r>
        <w:rPr>
          <w:rFonts w:ascii="Times New Roman" w:hAnsi="Times New Roman"/>
          <w:sz w:val="24"/>
          <w:szCs w:val="24"/>
        </w:rPr>
        <w:t>.</w:t>
      </w:r>
      <w:r w:rsidRPr="005C5D5E">
        <w:rPr>
          <w:rFonts w:ascii="Times New Roman" w:hAnsi="Times New Roman"/>
          <w:sz w:val="24"/>
          <w:szCs w:val="24"/>
        </w:rPr>
        <w:t>400</w:t>
      </w:r>
      <w:r>
        <w:rPr>
          <w:rFonts w:ascii="Times New Roman" w:hAnsi="Times New Roman"/>
          <w:sz w:val="24"/>
          <w:szCs w:val="24"/>
        </w:rPr>
        <w:t>.</w:t>
      </w:r>
    </w:p>
    <w:p w14:paraId="1CBCFEDC" w14:textId="099EE73B" w:rsidR="00E305FB" w:rsidRDefault="00E305FB" w:rsidP="00AB4D08">
      <w:pPr>
        <w:spacing w:line="240" w:lineRule="auto"/>
        <w:ind w:left="567"/>
        <w:contextualSpacing/>
        <w:jc w:val="both"/>
        <w:rPr>
          <w:rFonts w:ascii="Times New Roman" w:hAnsi="Times New Roman"/>
          <w:sz w:val="24"/>
          <w:szCs w:val="24"/>
        </w:rPr>
      </w:pPr>
      <w:r>
        <w:rPr>
          <w:noProof/>
          <w:lang w:eastAsia="es-CO"/>
        </w:rPr>
        <w:drawing>
          <wp:inline distT="0" distB="0" distL="0" distR="0" wp14:anchorId="30196EB8" wp14:editId="30DD8D80">
            <wp:extent cx="5791835" cy="12185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1218565"/>
                    </a:xfrm>
                    <a:prstGeom prst="rect">
                      <a:avLst/>
                    </a:prstGeom>
                  </pic:spPr>
                </pic:pic>
              </a:graphicData>
            </a:graphic>
          </wp:inline>
        </w:drawing>
      </w:r>
    </w:p>
    <w:p w14:paraId="6E1D0DCE" w14:textId="77777777" w:rsidR="00802194" w:rsidRDefault="00802194" w:rsidP="00AB4D08">
      <w:pPr>
        <w:spacing w:line="240" w:lineRule="auto"/>
        <w:ind w:left="567"/>
        <w:contextualSpacing/>
        <w:jc w:val="both"/>
        <w:rPr>
          <w:rFonts w:ascii="Times New Roman" w:hAnsi="Times New Roman"/>
          <w:sz w:val="24"/>
          <w:szCs w:val="24"/>
        </w:rPr>
      </w:pPr>
    </w:p>
    <w:p w14:paraId="3BB5575E" w14:textId="77777777" w:rsidR="00E305FB" w:rsidRPr="005C5D5E" w:rsidRDefault="00E305FB" w:rsidP="00AB4D08">
      <w:pPr>
        <w:spacing w:line="240" w:lineRule="auto"/>
        <w:ind w:left="567"/>
        <w:contextualSpacing/>
        <w:jc w:val="both"/>
        <w:rPr>
          <w:rFonts w:ascii="Times New Roman" w:hAnsi="Times New Roman"/>
          <w:color w:val="FF0000"/>
          <w:spacing w:val="-3"/>
          <w:sz w:val="24"/>
          <w:szCs w:val="24"/>
        </w:rPr>
      </w:pPr>
      <w:r w:rsidRPr="005C5D5E">
        <w:rPr>
          <w:rFonts w:ascii="Times New Roman" w:hAnsi="Times New Roman"/>
          <w:sz w:val="24"/>
          <w:szCs w:val="24"/>
        </w:rPr>
        <w:t>De igual manera analizados los indicios de deterioro de las bases, se detectó que se registra deterioro para los sobrantes identificados con el RT 10141A y RT 10145A  debido a que el valor del costo histórico es mayor que el avaluó neto.  Lo anterior se sustenta en los Avalúos Comerciales No. 2019 – 1139 y el No. 2019 – 1140 realizados por la Unidad Administrativa Especial de Catastro Distrital (UAECD), en la cual disminuyen su valor, por diversos factores allí especificados</w:t>
      </w:r>
      <w:r>
        <w:rPr>
          <w:rFonts w:ascii="Times New Roman" w:hAnsi="Times New Roman"/>
          <w:sz w:val="24"/>
          <w:szCs w:val="24"/>
        </w:rPr>
        <w:t>.</w:t>
      </w:r>
    </w:p>
    <w:p w14:paraId="6BA796FD" w14:textId="77777777" w:rsidR="00802194" w:rsidRDefault="00802194" w:rsidP="00AB4D08">
      <w:pPr>
        <w:spacing w:line="240" w:lineRule="auto"/>
        <w:ind w:left="567"/>
        <w:contextualSpacing/>
        <w:jc w:val="both"/>
        <w:rPr>
          <w:rFonts w:ascii="Times New Roman" w:eastAsia="Times New Roman" w:hAnsi="Times New Roman"/>
          <w:sz w:val="24"/>
          <w:szCs w:val="24"/>
          <w:lang w:eastAsia="es-CO"/>
        </w:rPr>
      </w:pPr>
    </w:p>
    <w:p w14:paraId="198A0E19" w14:textId="36E591CF" w:rsidR="00E305FB" w:rsidRDefault="00E305FB" w:rsidP="00AB4D08">
      <w:pPr>
        <w:spacing w:line="240" w:lineRule="auto"/>
        <w:ind w:left="567"/>
        <w:contextualSpacing/>
        <w:jc w:val="both"/>
        <w:rPr>
          <w:rFonts w:ascii="Times New Roman" w:hAnsi="Times New Roman"/>
          <w:sz w:val="24"/>
          <w:szCs w:val="24"/>
        </w:rPr>
      </w:pPr>
      <w:r w:rsidRPr="005C1EC5">
        <w:rPr>
          <w:rFonts w:ascii="Times New Roman" w:eastAsia="Times New Roman" w:hAnsi="Times New Roman"/>
          <w:sz w:val="24"/>
          <w:szCs w:val="24"/>
          <w:lang w:eastAsia="es-CO"/>
        </w:rPr>
        <w:t>Los siguientes pre</w:t>
      </w:r>
      <w:r>
        <w:rPr>
          <w:rFonts w:ascii="Times New Roman" w:eastAsia="Times New Roman" w:hAnsi="Times New Roman"/>
          <w:sz w:val="24"/>
          <w:szCs w:val="24"/>
          <w:lang w:eastAsia="es-CO"/>
        </w:rPr>
        <w:t>dios sobrantes - TRANSMILENIO, registraron deterioro, según lo reportado por la Dirección Técnica de Predios:</w:t>
      </w:r>
    </w:p>
    <w:p w14:paraId="604B9631" w14:textId="77777777" w:rsidR="00E305FB" w:rsidRDefault="00E305FB" w:rsidP="00AB4D08">
      <w:pPr>
        <w:spacing w:line="240" w:lineRule="auto"/>
        <w:ind w:left="567"/>
        <w:contextualSpacing/>
        <w:jc w:val="both"/>
        <w:rPr>
          <w:rFonts w:ascii="Times New Roman" w:hAnsi="Times New Roman"/>
          <w:sz w:val="24"/>
          <w:szCs w:val="24"/>
        </w:rPr>
      </w:pPr>
    </w:p>
    <w:p w14:paraId="5E3E7AC4" w14:textId="7FB0C686" w:rsidR="00E305FB" w:rsidRDefault="00E305FB" w:rsidP="00AB4D08">
      <w:pPr>
        <w:spacing w:line="240" w:lineRule="auto"/>
        <w:ind w:left="567"/>
        <w:contextualSpacing/>
        <w:jc w:val="both"/>
        <w:rPr>
          <w:rFonts w:ascii="Times New Roman" w:hAnsi="Times New Roman"/>
          <w:sz w:val="24"/>
          <w:szCs w:val="24"/>
        </w:rPr>
      </w:pPr>
      <w:r>
        <w:rPr>
          <w:noProof/>
          <w:lang w:eastAsia="es-CO"/>
        </w:rPr>
        <w:drawing>
          <wp:inline distT="0" distB="0" distL="0" distR="0" wp14:anchorId="3BBCF03A" wp14:editId="5A58AA20">
            <wp:extent cx="5267325" cy="1057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7325" cy="1057275"/>
                    </a:xfrm>
                    <a:prstGeom prst="rect">
                      <a:avLst/>
                    </a:prstGeom>
                  </pic:spPr>
                </pic:pic>
              </a:graphicData>
            </a:graphic>
          </wp:inline>
        </w:drawing>
      </w:r>
    </w:p>
    <w:p w14:paraId="71EED342" w14:textId="77777777" w:rsidR="00802194" w:rsidRDefault="00802194" w:rsidP="00AB4D08">
      <w:pPr>
        <w:spacing w:line="240" w:lineRule="auto"/>
        <w:ind w:left="567"/>
        <w:contextualSpacing/>
        <w:jc w:val="both"/>
        <w:rPr>
          <w:rFonts w:ascii="Times New Roman" w:hAnsi="Times New Roman"/>
          <w:sz w:val="24"/>
          <w:szCs w:val="24"/>
        </w:rPr>
      </w:pPr>
    </w:p>
    <w:p w14:paraId="29AC8468" w14:textId="41C805DE" w:rsidR="00E305FB" w:rsidRDefault="00E305FB" w:rsidP="00AB4D08">
      <w:pPr>
        <w:spacing w:line="240" w:lineRule="auto"/>
        <w:ind w:left="567"/>
        <w:contextualSpacing/>
        <w:jc w:val="both"/>
        <w:rPr>
          <w:rFonts w:ascii="Times New Roman" w:hAnsi="Times New Roman"/>
          <w:sz w:val="24"/>
          <w:szCs w:val="24"/>
        </w:rPr>
      </w:pPr>
      <w:r w:rsidRPr="008C778A">
        <w:rPr>
          <w:rFonts w:ascii="Times New Roman" w:hAnsi="Times New Roman"/>
          <w:sz w:val="24"/>
          <w:szCs w:val="24"/>
        </w:rPr>
        <w:t>Es importante mencionar que una vez verificadas las Bases y analizados los indicios de deterioro, se evidencia que se registra deterioro para estos tres sobrantes debido a que el valor del costo histórico es mayor que el costo de reposición, lo anterior obedece a que los predios a la fecha han sido clasificados como zonas de Espacio Público y Lote del Estado, respectivamente, en el SIIC de la Unidad Administrativa Especial de Catastro Distrital (UAECD), lo cual disminuye su valor catastral.</w:t>
      </w:r>
    </w:p>
    <w:p w14:paraId="091885DA" w14:textId="77777777" w:rsidR="00955050" w:rsidRDefault="00955050" w:rsidP="00AB4D08">
      <w:pPr>
        <w:spacing w:line="240" w:lineRule="auto"/>
        <w:ind w:left="567"/>
        <w:contextualSpacing/>
        <w:jc w:val="both"/>
        <w:rPr>
          <w:rFonts w:ascii="Times New Roman" w:hAnsi="Times New Roman"/>
          <w:spacing w:val="-3"/>
          <w:sz w:val="24"/>
          <w:szCs w:val="24"/>
        </w:rPr>
      </w:pPr>
    </w:p>
    <w:p w14:paraId="04A78FAD" w14:textId="5A605BAD" w:rsidR="00E305FB" w:rsidRDefault="00E305FB" w:rsidP="00AB4D08">
      <w:pPr>
        <w:spacing w:line="240" w:lineRule="auto"/>
        <w:ind w:left="567"/>
        <w:contextualSpacing/>
        <w:jc w:val="both"/>
        <w:rPr>
          <w:rFonts w:ascii="Times New Roman" w:hAnsi="Times New Roman"/>
          <w:spacing w:val="-3"/>
          <w:sz w:val="24"/>
          <w:szCs w:val="24"/>
        </w:rPr>
      </w:pPr>
      <w:r>
        <w:rPr>
          <w:rFonts w:ascii="Times New Roman" w:hAnsi="Times New Roman"/>
          <w:spacing w:val="-3"/>
          <w:sz w:val="24"/>
          <w:szCs w:val="24"/>
        </w:rPr>
        <w:t>Los RT 38254 y 35661A</w:t>
      </w:r>
      <w:r w:rsidRPr="005C5D5E">
        <w:rPr>
          <w:rFonts w:ascii="Times New Roman" w:hAnsi="Times New Roman"/>
          <w:spacing w:val="-3"/>
          <w:sz w:val="24"/>
          <w:szCs w:val="24"/>
        </w:rPr>
        <w:t>, present</w:t>
      </w:r>
      <w:r>
        <w:rPr>
          <w:rFonts w:ascii="Times New Roman" w:hAnsi="Times New Roman"/>
          <w:spacing w:val="-3"/>
          <w:sz w:val="24"/>
          <w:szCs w:val="24"/>
        </w:rPr>
        <w:t xml:space="preserve">aron </w:t>
      </w:r>
      <w:r w:rsidRPr="005C5D5E">
        <w:rPr>
          <w:rFonts w:ascii="Times New Roman" w:hAnsi="Times New Roman"/>
          <w:spacing w:val="-3"/>
          <w:sz w:val="24"/>
          <w:szCs w:val="24"/>
        </w:rPr>
        <w:t>la siguiente información al 31 de Diciembre de 2018:</w:t>
      </w:r>
    </w:p>
    <w:p w14:paraId="0C44FB50" w14:textId="77777777" w:rsidR="00802194" w:rsidRDefault="00802194" w:rsidP="00AB4D08">
      <w:pPr>
        <w:spacing w:line="240" w:lineRule="auto"/>
        <w:ind w:left="567"/>
        <w:contextualSpacing/>
        <w:jc w:val="both"/>
        <w:rPr>
          <w:rFonts w:ascii="Times New Roman" w:hAnsi="Times New Roman"/>
          <w:sz w:val="24"/>
          <w:szCs w:val="24"/>
        </w:rPr>
      </w:pPr>
    </w:p>
    <w:p w14:paraId="40F57EF9" w14:textId="0D9A2E7F" w:rsidR="00672EA9" w:rsidRDefault="00E305FB" w:rsidP="00AB4D08">
      <w:pPr>
        <w:spacing w:line="240" w:lineRule="auto"/>
        <w:ind w:left="567"/>
        <w:contextualSpacing/>
        <w:jc w:val="both"/>
        <w:rPr>
          <w:rFonts w:ascii="Times New Roman" w:hAnsi="Times New Roman"/>
          <w:sz w:val="24"/>
          <w:szCs w:val="24"/>
        </w:rPr>
      </w:pPr>
      <w:r>
        <w:rPr>
          <w:noProof/>
          <w:lang w:eastAsia="es-CO"/>
        </w:rPr>
        <w:drawing>
          <wp:inline distT="0" distB="0" distL="0" distR="0" wp14:anchorId="6EF67D99" wp14:editId="70E41CEF">
            <wp:extent cx="5791835" cy="812845"/>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812845"/>
                    </a:xfrm>
                    <a:prstGeom prst="rect">
                      <a:avLst/>
                    </a:prstGeom>
                  </pic:spPr>
                </pic:pic>
              </a:graphicData>
            </a:graphic>
          </wp:inline>
        </w:drawing>
      </w:r>
    </w:p>
    <w:p w14:paraId="4D69DDE4" w14:textId="77777777" w:rsidR="00802194" w:rsidRDefault="00802194" w:rsidP="00AB4D08">
      <w:pPr>
        <w:spacing w:line="240" w:lineRule="auto"/>
        <w:ind w:left="567"/>
        <w:contextualSpacing/>
        <w:jc w:val="both"/>
        <w:rPr>
          <w:rFonts w:ascii="Times New Roman" w:hAnsi="Times New Roman"/>
          <w:sz w:val="24"/>
          <w:szCs w:val="24"/>
        </w:rPr>
      </w:pPr>
    </w:p>
    <w:p w14:paraId="7A36F63E" w14:textId="372845B1" w:rsidR="00E305FB" w:rsidRDefault="00E305FB" w:rsidP="00AB4D08">
      <w:pPr>
        <w:spacing w:line="240" w:lineRule="auto"/>
        <w:ind w:left="567"/>
        <w:contextualSpacing/>
        <w:jc w:val="both"/>
        <w:rPr>
          <w:rFonts w:ascii="Times New Roman" w:hAnsi="Times New Roman"/>
          <w:sz w:val="24"/>
          <w:szCs w:val="24"/>
        </w:rPr>
      </w:pPr>
      <w:r>
        <w:rPr>
          <w:rFonts w:ascii="Times New Roman" w:hAnsi="Times New Roman"/>
          <w:sz w:val="24"/>
          <w:szCs w:val="24"/>
        </w:rPr>
        <w:t>Como se puede observar el valor del Costo de reposición fue inferior al determinado por la UAECD para este año, por lo que se presenta una disminución del deterioro para esta vigencia por $</w:t>
      </w:r>
      <w:r w:rsidRPr="009F039C">
        <w:rPr>
          <w:rFonts w:ascii="Times New Roman" w:hAnsi="Times New Roman"/>
          <w:sz w:val="24"/>
          <w:szCs w:val="24"/>
        </w:rPr>
        <w:t>18</w:t>
      </w:r>
      <w:r>
        <w:rPr>
          <w:rFonts w:ascii="Times New Roman" w:hAnsi="Times New Roman"/>
          <w:sz w:val="24"/>
          <w:szCs w:val="24"/>
        </w:rPr>
        <w:t>.</w:t>
      </w:r>
      <w:r w:rsidRPr="009F039C">
        <w:rPr>
          <w:rFonts w:ascii="Times New Roman" w:hAnsi="Times New Roman"/>
          <w:sz w:val="24"/>
          <w:szCs w:val="24"/>
        </w:rPr>
        <w:t>045</w:t>
      </w:r>
      <w:r>
        <w:rPr>
          <w:rFonts w:ascii="Times New Roman" w:hAnsi="Times New Roman"/>
          <w:sz w:val="24"/>
          <w:szCs w:val="24"/>
        </w:rPr>
        <w:t>.</w:t>
      </w:r>
      <w:r w:rsidRPr="009F039C">
        <w:rPr>
          <w:rFonts w:ascii="Times New Roman" w:hAnsi="Times New Roman"/>
          <w:sz w:val="24"/>
          <w:szCs w:val="24"/>
        </w:rPr>
        <w:t>967</w:t>
      </w:r>
      <w:r>
        <w:rPr>
          <w:rFonts w:ascii="Times New Roman" w:hAnsi="Times New Roman"/>
          <w:sz w:val="24"/>
          <w:szCs w:val="24"/>
        </w:rPr>
        <w:t>.</w:t>
      </w:r>
    </w:p>
    <w:p w14:paraId="17F49A0F" w14:textId="77777777" w:rsidR="00802194" w:rsidRDefault="00802194" w:rsidP="00AB4D08">
      <w:pPr>
        <w:spacing w:line="240" w:lineRule="auto"/>
        <w:ind w:left="567"/>
        <w:contextualSpacing/>
        <w:jc w:val="both"/>
        <w:rPr>
          <w:rFonts w:ascii="Times New Roman" w:hAnsi="Times New Roman"/>
          <w:sz w:val="24"/>
          <w:szCs w:val="24"/>
        </w:rPr>
      </w:pPr>
    </w:p>
    <w:p w14:paraId="1F06592A" w14:textId="6683B074" w:rsidR="00E305FB" w:rsidRDefault="00EE76CD" w:rsidP="00AB4D08">
      <w:pPr>
        <w:spacing w:line="240" w:lineRule="auto"/>
        <w:ind w:left="567"/>
        <w:contextualSpacing/>
        <w:jc w:val="both"/>
        <w:rPr>
          <w:rFonts w:ascii="Times New Roman" w:hAnsi="Times New Roman"/>
          <w:sz w:val="24"/>
          <w:szCs w:val="24"/>
        </w:rPr>
      </w:pPr>
      <w:r>
        <w:rPr>
          <w:noProof/>
          <w:lang w:eastAsia="es-CO"/>
        </w:rPr>
        <w:drawing>
          <wp:inline distT="0" distB="0" distL="0" distR="0" wp14:anchorId="65154C0C" wp14:editId="171A463A">
            <wp:extent cx="5791835" cy="72530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1835" cy="725308"/>
                    </a:xfrm>
                    <a:prstGeom prst="rect">
                      <a:avLst/>
                    </a:prstGeom>
                  </pic:spPr>
                </pic:pic>
              </a:graphicData>
            </a:graphic>
          </wp:inline>
        </w:drawing>
      </w:r>
    </w:p>
    <w:p w14:paraId="1DC6FAA8" w14:textId="77777777" w:rsidR="00802194" w:rsidRDefault="00802194" w:rsidP="00AB4D08">
      <w:pPr>
        <w:spacing w:line="240" w:lineRule="auto"/>
        <w:ind w:left="567"/>
        <w:contextualSpacing/>
        <w:jc w:val="both"/>
        <w:rPr>
          <w:rFonts w:ascii="Times New Roman" w:hAnsi="Times New Roman"/>
          <w:sz w:val="24"/>
          <w:szCs w:val="24"/>
        </w:rPr>
      </w:pPr>
    </w:p>
    <w:p w14:paraId="6604D611" w14:textId="4D2971DD" w:rsidR="00EE76CD" w:rsidRDefault="00EE76CD" w:rsidP="00AB4D08">
      <w:pPr>
        <w:spacing w:line="240" w:lineRule="auto"/>
        <w:ind w:left="567"/>
        <w:contextualSpacing/>
        <w:jc w:val="both"/>
        <w:rPr>
          <w:rFonts w:ascii="Times New Roman" w:hAnsi="Times New Roman"/>
          <w:sz w:val="24"/>
          <w:szCs w:val="24"/>
        </w:rPr>
      </w:pPr>
      <w:r w:rsidRPr="002116B9">
        <w:rPr>
          <w:rFonts w:ascii="Times New Roman" w:hAnsi="Times New Roman"/>
          <w:sz w:val="24"/>
          <w:szCs w:val="24"/>
        </w:rPr>
        <w:t>De igual manera analizados los indicios de deterioro de las bases, se detectó que se registra deterioro para el sobrante identificado con RT 31677 debido a que el valor del costo histórico es mayor que el avaluó neto</w:t>
      </w:r>
      <w:r>
        <w:rPr>
          <w:rFonts w:ascii="Times New Roman" w:hAnsi="Times New Roman"/>
          <w:sz w:val="24"/>
          <w:szCs w:val="24"/>
        </w:rPr>
        <w:t>.</w:t>
      </w:r>
    </w:p>
    <w:p w14:paraId="7D366DFD" w14:textId="77777777" w:rsidR="007241F7" w:rsidRDefault="007241F7" w:rsidP="00AB4D08">
      <w:pPr>
        <w:spacing w:after="0" w:line="240" w:lineRule="auto"/>
        <w:contextualSpacing/>
        <w:jc w:val="both"/>
        <w:rPr>
          <w:rFonts w:ascii="Times New Roman" w:hAnsi="Times New Roman"/>
          <w:b/>
          <w:sz w:val="24"/>
          <w:szCs w:val="24"/>
          <w:highlight w:val="yellow"/>
        </w:rPr>
      </w:pPr>
    </w:p>
    <w:p w14:paraId="1BCF6428" w14:textId="77777777" w:rsidR="00187C9F" w:rsidRPr="00B52057" w:rsidRDefault="00187C9F" w:rsidP="00AB4D08">
      <w:pPr>
        <w:pStyle w:val="Ttulo1"/>
        <w:contextualSpacing/>
        <w:rPr>
          <w:rFonts w:cs="Times New Roman"/>
          <w:sz w:val="24"/>
          <w:szCs w:val="24"/>
        </w:rPr>
      </w:pPr>
      <w:bookmarkStart w:id="45" w:name="_Toc32317260"/>
      <w:r w:rsidRPr="00B52057">
        <w:rPr>
          <w:rFonts w:cs="Times New Roman"/>
          <w:sz w:val="24"/>
          <w:szCs w:val="24"/>
        </w:rPr>
        <w:t>NOTA 10. PROPIEDADES, PLANTA Y EQUIPO</w:t>
      </w:r>
      <w:bookmarkEnd w:id="45"/>
    </w:p>
    <w:p w14:paraId="7E4225EC" w14:textId="77777777" w:rsidR="00E12C9E" w:rsidRPr="0031578D" w:rsidRDefault="00E12C9E" w:rsidP="00AB4D08">
      <w:pPr>
        <w:spacing w:after="0" w:line="240" w:lineRule="auto"/>
        <w:contextualSpacing/>
        <w:jc w:val="both"/>
        <w:rPr>
          <w:rFonts w:ascii="Times New Roman" w:hAnsi="Times New Roman"/>
          <w:b/>
          <w:sz w:val="24"/>
          <w:szCs w:val="24"/>
          <w:highlight w:val="yellow"/>
        </w:rPr>
      </w:pPr>
    </w:p>
    <w:p w14:paraId="4AB5D54E" w14:textId="77777777" w:rsidR="00E12C9E" w:rsidRPr="00B52057" w:rsidRDefault="00E12C9E" w:rsidP="00AB4D08">
      <w:pPr>
        <w:pStyle w:val="Ttulo2"/>
        <w:numPr>
          <w:ilvl w:val="0"/>
          <w:numId w:val="0"/>
        </w:numPr>
        <w:spacing w:line="240" w:lineRule="auto"/>
        <w:contextualSpacing/>
        <w:rPr>
          <w:rFonts w:cs="Times New Roman"/>
          <w:szCs w:val="24"/>
        </w:rPr>
      </w:pPr>
      <w:bookmarkStart w:id="46" w:name="_Toc32317261"/>
      <w:r w:rsidRPr="00B52057">
        <w:rPr>
          <w:rFonts w:cs="Times New Roman"/>
          <w:szCs w:val="24"/>
        </w:rPr>
        <w:t>Composición</w:t>
      </w:r>
      <w:bookmarkEnd w:id="46"/>
    </w:p>
    <w:p w14:paraId="3CC4F3DE" w14:textId="77777777" w:rsidR="00E12C9E" w:rsidRDefault="00E12C9E" w:rsidP="00AB4D08">
      <w:pPr>
        <w:spacing w:after="0" w:line="240" w:lineRule="auto"/>
        <w:contextualSpacing/>
        <w:jc w:val="both"/>
        <w:rPr>
          <w:rFonts w:ascii="Times New Roman" w:hAnsi="Times New Roman"/>
          <w:b/>
          <w:sz w:val="24"/>
          <w:szCs w:val="24"/>
        </w:rPr>
      </w:pPr>
    </w:p>
    <w:p w14:paraId="78AC9019" w14:textId="7F0886AA" w:rsidR="00B52057" w:rsidRDefault="00DD475B" w:rsidP="00AB4D08">
      <w:pPr>
        <w:spacing w:after="0" w:line="240" w:lineRule="auto"/>
        <w:ind w:left="567"/>
        <w:contextualSpacing/>
        <w:jc w:val="both"/>
        <w:rPr>
          <w:rFonts w:ascii="Times New Roman" w:eastAsia="Arial" w:hAnsi="Times New Roman"/>
          <w:sz w:val="24"/>
          <w:szCs w:val="24"/>
        </w:rPr>
      </w:pPr>
      <w:r w:rsidRPr="00B52057">
        <w:rPr>
          <w:noProof/>
          <w:lang w:eastAsia="es-CO"/>
        </w:rPr>
        <w:drawing>
          <wp:anchor distT="0" distB="0" distL="114300" distR="114300" simplePos="0" relativeHeight="251661312" behindDoc="0" locked="0" layoutInCell="1" allowOverlap="1" wp14:anchorId="055D15DB" wp14:editId="68ECE3BD">
            <wp:simplePos x="0" y="0"/>
            <wp:positionH relativeFrom="column">
              <wp:posOffset>82550</wp:posOffset>
            </wp:positionH>
            <wp:positionV relativeFrom="paragraph">
              <wp:posOffset>522605</wp:posOffset>
            </wp:positionV>
            <wp:extent cx="5791835" cy="430847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835" cy="430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057" w:rsidRPr="00D37DC9">
        <w:rPr>
          <w:rFonts w:ascii="Times New Roman" w:eastAsia="Arial" w:hAnsi="Times New Roman"/>
          <w:sz w:val="24"/>
          <w:szCs w:val="24"/>
        </w:rPr>
        <w:t xml:space="preserve">Con </w:t>
      </w:r>
      <w:r w:rsidR="00B52057">
        <w:rPr>
          <w:rFonts w:ascii="Times New Roman" w:eastAsia="Arial" w:hAnsi="Times New Roman"/>
          <w:sz w:val="24"/>
          <w:szCs w:val="24"/>
        </w:rPr>
        <w:t xml:space="preserve">corte </w:t>
      </w:r>
      <w:r w:rsidR="00B52057" w:rsidRPr="00D37DC9">
        <w:rPr>
          <w:rFonts w:ascii="Times New Roman" w:eastAsia="Arial" w:hAnsi="Times New Roman"/>
          <w:sz w:val="24"/>
          <w:szCs w:val="24"/>
        </w:rPr>
        <w:t>a 31 de diciembre de 2019, se presentan los siguientes saldos para las cuentas de propiedad, planta y equipo:</w:t>
      </w:r>
    </w:p>
    <w:p w14:paraId="4BE34DD1" w14:textId="4663D5A9" w:rsidR="00DD475B" w:rsidRDefault="00DD475B" w:rsidP="00AB4D08">
      <w:pPr>
        <w:spacing w:after="0" w:line="240" w:lineRule="auto"/>
        <w:ind w:left="567"/>
        <w:contextualSpacing/>
        <w:jc w:val="both"/>
        <w:rPr>
          <w:rFonts w:ascii="Times New Roman" w:eastAsia="Arial" w:hAnsi="Times New Roman"/>
          <w:sz w:val="24"/>
          <w:szCs w:val="24"/>
        </w:rPr>
      </w:pPr>
    </w:p>
    <w:p w14:paraId="3D44DD87" w14:textId="535488DD" w:rsidR="00DD475B" w:rsidRDefault="00DD475B" w:rsidP="00AB4D08">
      <w:pPr>
        <w:spacing w:after="0" w:line="240" w:lineRule="auto"/>
        <w:ind w:left="567"/>
        <w:contextualSpacing/>
        <w:jc w:val="both"/>
        <w:rPr>
          <w:rFonts w:ascii="Times New Roman" w:eastAsia="Arial" w:hAnsi="Times New Roman"/>
          <w:sz w:val="24"/>
          <w:szCs w:val="24"/>
        </w:rPr>
      </w:pPr>
    </w:p>
    <w:p w14:paraId="15F35112" w14:textId="20F7D38D" w:rsidR="00DD475B" w:rsidRDefault="00DD475B" w:rsidP="00AB4D08">
      <w:pPr>
        <w:spacing w:after="0" w:line="240" w:lineRule="auto"/>
        <w:ind w:left="567"/>
        <w:contextualSpacing/>
        <w:jc w:val="both"/>
        <w:rPr>
          <w:rFonts w:ascii="Times New Roman" w:eastAsia="Arial" w:hAnsi="Times New Roman"/>
          <w:sz w:val="24"/>
          <w:szCs w:val="24"/>
        </w:rPr>
      </w:pPr>
    </w:p>
    <w:p w14:paraId="3279EEE4" w14:textId="77777777" w:rsidR="00DD475B" w:rsidRDefault="00DD475B" w:rsidP="00AB4D08">
      <w:pPr>
        <w:spacing w:after="0" w:line="240" w:lineRule="auto"/>
        <w:ind w:left="567"/>
        <w:contextualSpacing/>
        <w:jc w:val="both"/>
        <w:rPr>
          <w:rFonts w:ascii="Times New Roman" w:eastAsia="Arial" w:hAnsi="Times New Roman"/>
          <w:sz w:val="24"/>
          <w:szCs w:val="24"/>
        </w:rPr>
      </w:pPr>
    </w:p>
    <w:p w14:paraId="4947DCE4" w14:textId="66F29F82" w:rsidR="00BE05F2" w:rsidRPr="00BE05F2" w:rsidRDefault="00BE05F2" w:rsidP="00AB4D08">
      <w:pPr>
        <w:pStyle w:val="Prrafodelista"/>
        <w:spacing w:after="0" w:line="240" w:lineRule="auto"/>
        <w:jc w:val="both"/>
        <w:rPr>
          <w:rFonts w:ascii="Times New Roman" w:eastAsia="Arial" w:hAnsi="Times New Roman"/>
          <w:sz w:val="24"/>
          <w:szCs w:val="24"/>
        </w:rPr>
      </w:pPr>
      <w:r>
        <w:rPr>
          <w:rFonts w:ascii="Times New Roman" w:eastAsia="Arial" w:hAnsi="Times New Roman"/>
          <w:sz w:val="24"/>
          <w:szCs w:val="24"/>
        </w:rPr>
        <w:lastRenderedPageBreak/>
        <w:t xml:space="preserve">Durante </w:t>
      </w:r>
      <w:r w:rsidRPr="00BE05F2">
        <w:rPr>
          <w:rFonts w:ascii="Times New Roman" w:eastAsia="Arial" w:hAnsi="Times New Roman"/>
          <w:sz w:val="24"/>
          <w:szCs w:val="24"/>
        </w:rPr>
        <w:t>l</w:t>
      </w:r>
      <w:r>
        <w:rPr>
          <w:rFonts w:ascii="Times New Roman" w:eastAsia="Arial" w:hAnsi="Times New Roman"/>
          <w:sz w:val="24"/>
          <w:szCs w:val="24"/>
        </w:rPr>
        <w:t xml:space="preserve">a vigencia </w:t>
      </w:r>
      <w:r w:rsidRPr="00BE05F2">
        <w:rPr>
          <w:rFonts w:ascii="Times New Roman" w:eastAsia="Arial" w:hAnsi="Times New Roman"/>
          <w:sz w:val="24"/>
          <w:szCs w:val="24"/>
        </w:rPr>
        <w:t xml:space="preserve"> 2019 se registró una disminución del grupo de propiedad, planta y equipo por valor de $3.725.984.695, lo anterior como resultado del registro del deterioro para el equipo de cómputo y comunicación y equipo de transporte por valor de $1.616.687.348, así como el gasto por depreciación generado durante la vigencia por $3.115.431.741, y la baja de bienes registrada por $131.487.294 y </w:t>
      </w:r>
      <w:r w:rsidR="00787596">
        <w:rPr>
          <w:rFonts w:ascii="Times New Roman" w:eastAsia="Arial" w:hAnsi="Times New Roman"/>
          <w:sz w:val="24"/>
          <w:szCs w:val="24"/>
        </w:rPr>
        <w:t xml:space="preserve">el </w:t>
      </w:r>
      <w:r w:rsidRPr="00BE05F2">
        <w:rPr>
          <w:rFonts w:ascii="Times New Roman" w:eastAsia="Arial" w:hAnsi="Times New Roman"/>
          <w:sz w:val="24"/>
          <w:szCs w:val="24"/>
        </w:rPr>
        <w:t xml:space="preserve">incremento </w:t>
      </w:r>
      <w:r w:rsidR="00787596">
        <w:rPr>
          <w:rFonts w:ascii="Times New Roman" w:eastAsia="Arial" w:hAnsi="Times New Roman"/>
          <w:sz w:val="24"/>
          <w:szCs w:val="24"/>
        </w:rPr>
        <w:t>en l</w:t>
      </w:r>
      <w:r w:rsidRPr="00BE05F2">
        <w:rPr>
          <w:rFonts w:ascii="Times New Roman" w:eastAsia="Arial" w:hAnsi="Times New Roman"/>
          <w:sz w:val="24"/>
          <w:szCs w:val="24"/>
        </w:rPr>
        <w:t>as adquisiciones de bienes por valor de $1.137.621.688</w:t>
      </w:r>
      <w:r w:rsidR="00787596">
        <w:rPr>
          <w:rFonts w:ascii="Times New Roman" w:eastAsia="Arial" w:hAnsi="Times New Roman"/>
          <w:sz w:val="24"/>
          <w:szCs w:val="24"/>
        </w:rPr>
        <w:t>.</w:t>
      </w:r>
    </w:p>
    <w:p w14:paraId="726C94E5" w14:textId="2FC8110C" w:rsidR="00BE05F2" w:rsidRPr="00BE05F2" w:rsidRDefault="00BE05F2" w:rsidP="00AB4D08">
      <w:pPr>
        <w:spacing w:after="0" w:line="240" w:lineRule="auto"/>
        <w:ind w:left="567"/>
        <w:contextualSpacing/>
        <w:jc w:val="both"/>
        <w:rPr>
          <w:rFonts w:ascii="Times New Roman" w:eastAsia="Arial" w:hAnsi="Times New Roman"/>
          <w:sz w:val="24"/>
          <w:szCs w:val="24"/>
        </w:rPr>
      </w:pPr>
    </w:p>
    <w:p w14:paraId="6A04BE44" w14:textId="7AD071AA" w:rsidR="00E12C9E" w:rsidRPr="00B52057" w:rsidRDefault="001125C6" w:rsidP="00AB4D08">
      <w:pPr>
        <w:pStyle w:val="Ttulo2"/>
        <w:numPr>
          <w:ilvl w:val="1"/>
          <w:numId w:val="27"/>
        </w:numPr>
        <w:spacing w:line="240" w:lineRule="auto"/>
        <w:ind w:left="567" w:hanging="567"/>
        <w:contextualSpacing/>
        <w:rPr>
          <w:rFonts w:cs="Times New Roman"/>
          <w:szCs w:val="24"/>
        </w:rPr>
      </w:pPr>
      <w:bookmarkStart w:id="47" w:name="_Toc32317262"/>
      <w:r>
        <w:rPr>
          <w:rFonts w:cs="Times New Roman"/>
          <w:szCs w:val="24"/>
        </w:rPr>
        <w:t>Bienes inmuebles</w:t>
      </w:r>
      <w:bookmarkEnd w:id="47"/>
    </w:p>
    <w:p w14:paraId="5304279F" w14:textId="77777777" w:rsidR="00E12C9E" w:rsidRDefault="00E12C9E" w:rsidP="00AB4D08">
      <w:pPr>
        <w:spacing w:after="0" w:line="240" w:lineRule="auto"/>
        <w:ind w:left="567"/>
        <w:contextualSpacing/>
        <w:jc w:val="both"/>
        <w:rPr>
          <w:rFonts w:ascii="Times New Roman" w:hAnsi="Times New Roman"/>
          <w:sz w:val="24"/>
          <w:szCs w:val="24"/>
        </w:rPr>
      </w:pPr>
    </w:p>
    <w:p w14:paraId="0B948AB0" w14:textId="6DED4C1E" w:rsidR="001125C6" w:rsidRPr="00D37DC9" w:rsidRDefault="001125C6" w:rsidP="00AB4D08">
      <w:pPr>
        <w:spacing w:after="0" w:line="240" w:lineRule="auto"/>
        <w:ind w:left="567"/>
        <w:contextualSpacing/>
        <w:jc w:val="both"/>
        <w:rPr>
          <w:rFonts w:ascii="Times New Roman" w:eastAsia="Arial" w:hAnsi="Times New Roman"/>
          <w:sz w:val="24"/>
          <w:szCs w:val="24"/>
        </w:rPr>
      </w:pPr>
      <w:r w:rsidRPr="00D37DC9">
        <w:rPr>
          <w:rFonts w:ascii="Times New Roman" w:eastAsia="Arial" w:hAnsi="Times New Roman"/>
          <w:sz w:val="24"/>
          <w:szCs w:val="24"/>
        </w:rPr>
        <w:t xml:space="preserve">Los bienes inmuebles se </w:t>
      </w:r>
      <w:r w:rsidR="00BB3BD1">
        <w:rPr>
          <w:rFonts w:ascii="Times New Roman" w:eastAsia="Arial" w:hAnsi="Times New Roman"/>
          <w:sz w:val="24"/>
          <w:szCs w:val="24"/>
        </w:rPr>
        <w:t xml:space="preserve">reconocen </w:t>
      </w:r>
      <w:r>
        <w:rPr>
          <w:rFonts w:ascii="Times New Roman" w:eastAsia="Arial" w:hAnsi="Times New Roman"/>
          <w:sz w:val="24"/>
          <w:szCs w:val="24"/>
        </w:rPr>
        <w:t xml:space="preserve">en cumplimiento de lo establecido </w:t>
      </w:r>
      <w:r w:rsidR="00BB3BD1">
        <w:rPr>
          <w:rFonts w:ascii="Times New Roman" w:eastAsia="Arial" w:hAnsi="Times New Roman"/>
          <w:sz w:val="24"/>
          <w:szCs w:val="24"/>
        </w:rPr>
        <w:t xml:space="preserve">en la normatividad vigente y el Manual de Políticas Contables, </w:t>
      </w:r>
      <w:r w:rsidRPr="00D37DC9">
        <w:rPr>
          <w:rFonts w:ascii="Times New Roman" w:eastAsia="Arial" w:hAnsi="Times New Roman"/>
          <w:sz w:val="24"/>
          <w:szCs w:val="24"/>
        </w:rPr>
        <w:t xml:space="preserve">los terrenos y las edificaciones se registran por separado. Para las edificaciones se estima una vida útil </w:t>
      </w:r>
      <w:r w:rsidR="0011129B">
        <w:rPr>
          <w:rFonts w:ascii="Times New Roman" w:eastAsia="Arial" w:hAnsi="Times New Roman"/>
          <w:sz w:val="24"/>
          <w:szCs w:val="24"/>
        </w:rPr>
        <w:t xml:space="preserve">entre 50 y </w:t>
      </w:r>
      <w:r w:rsidRPr="00D37DC9">
        <w:rPr>
          <w:rFonts w:ascii="Times New Roman" w:eastAsia="Arial" w:hAnsi="Times New Roman"/>
          <w:sz w:val="24"/>
          <w:szCs w:val="24"/>
        </w:rPr>
        <w:t xml:space="preserve">100 años y son objeto de depreciación por el método de línea recta. </w:t>
      </w:r>
    </w:p>
    <w:p w14:paraId="5C992A2C" w14:textId="77777777" w:rsidR="001125C6" w:rsidRPr="00D37DC9" w:rsidRDefault="001125C6" w:rsidP="00AB4D08">
      <w:pPr>
        <w:spacing w:after="0" w:line="240" w:lineRule="auto"/>
        <w:ind w:left="567"/>
        <w:contextualSpacing/>
        <w:jc w:val="both"/>
        <w:rPr>
          <w:rFonts w:ascii="Times New Roman" w:eastAsia="Arial" w:hAnsi="Times New Roman"/>
          <w:sz w:val="24"/>
          <w:szCs w:val="24"/>
        </w:rPr>
      </w:pPr>
    </w:p>
    <w:p w14:paraId="29A72072" w14:textId="2280535E" w:rsidR="001125C6" w:rsidRDefault="0011129B" w:rsidP="00AB4D08">
      <w:pPr>
        <w:spacing w:after="0" w:line="240" w:lineRule="auto"/>
        <w:ind w:left="567"/>
        <w:contextualSpacing/>
        <w:jc w:val="both"/>
        <w:rPr>
          <w:rFonts w:ascii="Times New Roman" w:eastAsia="Arial" w:hAnsi="Times New Roman"/>
          <w:sz w:val="24"/>
          <w:szCs w:val="24"/>
        </w:rPr>
      </w:pPr>
      <w:r w:rsidRPr="0011129B">
        <w:rPr>
          <w:noProof/>
          <w:lang w:eastAsia="es-CO"/>
        </w:rPr>
        <w:drawing>
          <wp:anchor distT="0" distB="0" distL="114300" distR="114300" simplePos="0" relativeHeight="251662336" behindDoc="0" locked="0" layoutInCell="1" allowOverlap="1" wp14:anchorId="259C0357" wp14:editId="3E51E170">
            <wp:simplePos x="0" y="0"/>
            <wp:positionH relativeFrom="column">
              <wp:posOffset>-51435</wp:posOffset>
            </wp:positionH>
            <wp:positionV relativeFrom="paragraph">
              <wp:posOffset>523240</wp:posOffset>
            </wp:positionV>
            <wp:extent cx="5791835" cy="2848829"/>
            <wp:effectExtent l="0" t="0" r="0" b="8890"/>
            <wp:wrapThrough wrapText="bothSides">
              <wp:wrapPolygon edited="0">
                <wp:start x="0" y="0"/>
                <wp:lineTo x="0" y="21523"/>
                <wp:lineTo x="17761" y="21523"/>
                <wp:lineTo x="21456" y="21234"/>
                <wp:lineTo x="21527" y="20367"/>
                <wp:lineTo x="21527" y="16756"/>
                <wp:lineTo x="17761" y="16178"/>
                <wp:lineTo x="21313" y="16034"/>
                <wp:lineTo x="21527" y="14589"/>
                <wp:lineTo x="21527" y="7511"/>
                <wp:lineTo x="17761" y="6934"/>
                <wp:lineTo x="21527" y="6789"/>
                <wp:lineTo x="21527"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835" cy="2848829"/>
                    </a:xfrm>
                    <a:prstGeom prst="rect">
                      <a:avLst/>
                    </a:prstGeom>
                    <a:noFill/>
                    <a:ln>
                      <a:noFill/>
                    </a:ln>
                  </pic:spPr>
                </pic:pic>
              </a:graphicData>
            </a:graphic>
          </wp:anchor>
        </w:drawing>
      </w:r>
      <w:r w:rsidR="001125C6" w:rsidRPr="00D37DC9">
        <w:rPr>
          <w:rFonts w:ascii="Times New Roman" w:eastAsia="Arial" w:hAnsi="Times New Roman"/>
          <w:sz w:val="24"/>
          <w:szCs w:val="24"/>
        </w:rPr>
        <w:t xml:space="preserve">El siguiente es el movimiento de los bienes inmuebles y su depreciación, correspondiente  </w:t>
      </w:r>
      <w:r w:rsidR="001125C6">
        <w:rPr>
          <w:rFonts w:ascii="Times New Roman" w:eastAsia="Arial" w:hAnsi="Times New Roman"/>
          <w:sz w:val="24"/>
          <w:szCs w:val="24"/>
        </w:rPr>
        <w:t>a la vigencia</w:t>
      </w:r>
      <w:r w:rsidR="001125C6" w:rsidRPr="00D37DC9">
        <w:rPr>
          <w:rFonts w:ascii="Times New Roman" w:eastAsia="Arial" w:hAnsi="Times New Roman"/>
          <w:sz w:val="24"/>
          <w:szCs w:val="24"/>
        </w:rPr>
        <w:t xml:space="preserve"> 2019:</w:t>
      </w:r>
    </w:p>
    <w:p w14:paraId="66D944B5" w14:textId="52CF1484" w:rsidR="00DC355C" w:rsidRPr="004745BD" w:rsidRDefault="00DC355C" w:rsidP="00AB4D08">
      <w:pPr>
        <w:spacing w:after="0" w:line="240" w:lineRule="auto"/>
        <w:ind w:left="567"/>
        <w:contextualSpacing/>
        <w:jc w:val="both"/>
        <w:rPr>
          <w:rFonts w:ascii="Times New Roman" w:eastAsia="Arial" w:hAnsi="Times New Roman"/>
          <w:sz w:val="24"/>
          <w:szCs w:val="24"/>
        </w:rPr>
      </w:pPr>
      <w:r w:rsidRPr="004745BD">
        <w:rPr>
          <w:rFonts w:ascii="Times New Roman" w:eastAsia="Arial" w:hAnsi="Times New Roman"/>
          <w:sz w:val="24"/>
          <w:szCs w:val="24"/>
        </w:rPr>
        <w:t>Durante l</w:t>
      </w:r>
      <w:r>
        <w:rPr>
          <w:rFonts w:ascii="Times New Roman" w:eastAsia="Arial" w:hAnsi="Times New Roman"/>
          <w:sz w:val="24"/>
          <w:szCs w:val="24"/>
        </w:rPr>
        <w:t xml:space="preserve">a vigencia </w:t>
      </w:r>
      <w:r w:rsidRPr="004745BD">
        <w:rPr>
          <w:rFonts w:ascii="Times New Roman" w:eastAsia="Arial" w:hAnsi="Times New Roman"/>
          <w:sz w:val="24"/>
          <w:szCs w:val="24"/>
        </w:rPr>
        <w:t>2019 los bienes inmuebles no presentaron novedades de incorporaciones o bajas. Se registró la depreciación a las edificaciones de acuerdo a la vida útil asignada.</w:t>
      </w:r>
    </w:p>
    <w:p w14:paraId="382DB4A3" w14:textId="77777777" w:rsidR="00DC355C" w:rsidRDefault="00DC355C" w:rsidP="00AB4D08">
      <w:pPr>
        <w:spacing w:after="0" w:line="240" w:lineRule="auto"/>
        <w:ind w:left="567"/>
        <w:contextualSpacing/>
        <w:jc w:val="both"/>
        <w:rPr>
          <w:rFonts w:ascii="Times New Roman" w:eastAsia="Arial" w:hAnsi="Times New Roman"/>
          <w:sz w:val="24"/>
          <w:szCs w:val="24"/>
        </w:rPr>
      </w:pPr>
    </w:p>
    <w:p w14:paraId="40BD9BEF"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6BD133A0"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53B678DC"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1A4773F4"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42381DEC"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7DE0CF1B"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34763FFC" w14:textId="77777777" w:rsidR="00471845" w:rsidRDefault="00471845" w:rsidP="00AB4D08">
      <w:pPr>
        <w:spacing w:after="0" w:line="240" w:lineRule="auto"/>
        <w:ind w:left="567"/>
        <w:contextualSpacing/>
        <w:jc w:val="both"/>
        <w:rPr>
          <w:rFonts w:ascii="Times New Roman" w:eastAsia="Arial" w:hAnsi="Times New Roman"/>
          <w:sz w:val="24"/>
          <w:szCs w:val="24"/>
        </w:rPr>
      </w:pPr>
    </w:p>
    <w:p w14:paraId="4C77A5BC" w14:textId="530415B1" w:rsidR="00DC355C" w:rsidRPr="004745BD" w:rsidRDefault="00DC355C" w:rsidP="00AB4D08">
      <w:pPr>
        <w:spacing w:after="0" w:line="240" w:lineRule="auto"/>
        <w:ind w:left="567"/>
        <w:contextualSpacing/>
        <w:jc w:val="both"/>
        <w:rPr>
          <w:rFonts w:ascii="Times New Roman" w:eastAsia="Arial" w:hAnsi="Times New Roman"/>
          <w:sz w:val="24"/>
          <w:szCs w:val="24"/>
        </w:rPr>
      </w:pPr>
      <w:r w:rsidRPr="004745BD">
        <w:rPr>
          <w:rFonts w:ascii="Times New Roman" w:eastAsia="Arial" w:hAnsi="Times New Roman"/>
          <w:sz w:val="24"/>
          <w:szCs w:val="24"/>
        </w:rPr>
        <w:lastRenderedPageBreak/>
        <w:t xml:space="preserve">El detalle de los </w:t>
      </w:r>
      <w:r w:rsidR="002D2AEE">
        <w:rPr>
          <w:rFonts w:ascii="Times New Roman" w:eastAsia="Arial" w:hAnsi="Times New Roman"/>
          <w:sz w:val="24"/>
          <w:szCs w:val="24"/>
        </w:rPr>
        <w:t>terreno</w:t>
      </w:r>
      <w:r w:rsidRPr="004745BD">
        <w:rPr>
          <w:rFonts w:ascii="Times New Roman" w:eastAsia="Arial" w:hAnsi="Times New Roman"/>
          <w:sz w:val="24"/>
          <w:szCs w:val="24"/>
        </w:rPr>
        <w:t>s en servicio registrados a diciembre 31 de 2019</w:t>
      </w:r>
      <w:r>
        <w:rPr>
          <w:rFonts w:ascii="Times New Roman" w:eastAsia="Arial" w:hAnsi="Times New Roman"/>
          <w:sz w:val="24"/>
          <w:szCs w:val="24"/>
        </w:rPr>
        <w:t>,</w:t>
      </w:r>
      <w:r w:rsidRPr="004745BD">
        <w:rPr>
          <w:rFonts w:ascii="Times New Roman" w:eastAsia="Arial" w:hAnsi="Times New Roman"/>
          <w:sz w:val="24"/>
          <w:szCs w:val="24"/>
        </w:rPr>
        <w:t xml:space="preserve"> es el siguiente:</w:t>
      </w:r>
    </w:p>
    <w:p w14:paraId="060568DA" w14:textId="77777777" w:rsidR="0011129B" w:rsidRDefault="0011129B" w:rsidP="00AB4D08">
      <w:pPr>
        <w:spacing w:after="0" w:line="240" w:lineRule="auto"/>
        <w:ind w:left="567"/>
        <w:contextualSpacing/>
        <w:jc w:val="both"/>
        <w:rPr>
          <w:rFonts w:ascii="Times New Roman" w:eastAsia="Arial" w:hAnsi="Times New Roman"/>
          <w:sz w:val="24"/>
          <w:szCs w:val="24"/>
        </w:rPr>
      </w:pPr>
    </w:p>
    <w:p w14:paraId="3E214252" w14:textId="4D5E8E2B" w:rsidR="005E1094" w:rsidRDefault="005E1094" w:rsidP="00AB4D08">
      <w:pPr>
        <w:spacing w:after="0" w:line="240" w:lineRule="auto"/>
        <w:ind w:left="567"/>
        <w:contextualSpacing/>
        <w:jc w:val="both"/>
        <w:rPr>
          <w:rFonts w:ascii="Times New Roman" w:eastAsia="Arial" w:hAnsi="Times New Roman"/>
          <w:sz w:val="24"/>
          <w:szCs w:val="24"/>
        </w:rPr>
      </w:pPr>
      <w:r w:rsidRPr="005E1094">
        <w:rPr>
          <w:noProof/>
          <w:lang w:eastAsia="es-CO"/>
        </w:rPr>
        <w:drawing>
          <wp:inline distT="0" distB="0" distL="0" distR="0" wp14:anchorId="2E1F58C8" wp14:editId="29E19003">
            <wp:extent cx="4752975" cy="28670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975" cy="2867025"/>
                    </a:xfrm>
                    <a:prstGeom prst="rect">
                      <a:avLst/>
                    </a:prstGeom>
                    <a:noFill/>
                    <a:ln>
                      <a:noFill/>
                    </a:ln>
                  </pic:spPr>
                </pic:pic>
              </a:graphicData>
            </a:graphic>
          </wp:inline>
        </w:drawing>
      </w:r>
    </w:p>
    <w:p w14:paraId="040D03A6" w14:textId="77777777" w:rsidR="0011129B" w:rsidRDefault="0011129B" w:rsidP="00AB4D08">
      <w:pPr>
        <w:spacing w:after="0" w:line="240" w:lineRule="auto"/>
        <w:ind w:left="567"/>
        <w:contextualSpacing/>
        <w:jc w:val="both"/>
        <w:rPr>
          <w:rFonts w:ascii="Times New Roman" w:eastAsia="Arial" w:hAnsi="Times New Roman"/>
          <w:sz w:val="24"/>
          <w:szCs w:val="24"/>
        </w:rPr>
      </w:pPr>
    </w:p>
    <w:p w14:paraId="34201EDF" w14:textId="34722F0C" w:rsidR="002D2AEE" w:rsidRDefault="005E1094" w:rsidP="00AB4D08">
      <w:pPr>
        <w:spacing w:after="0" w:line="240" w:lineRule="auto"/>
        <w:ind w:left="567"/>
        <w:contextualSpacing/>
        <w:jc w:val="both"/>
        <w:rPr>
          <w:rFonts w:ascii="Times New Roman" w:eastAsia="Arial" w:hAnsi="Times New Roman"/>
          <w:sz w:val="24"/>
          <w:szCs w:val="24"/>
        </w:rPr>
      </w:pPr>
      <w:r w:rsidRPr="005E1094">
        <w:rPr>
          <w:noProof/>
          <w:lang w:eastAsia="es-CO"/>
        </w:rPr>
        <w:drawing>
          <wp:anchor distT="0" distB="0" distL="114300" distR="114300" simplePos="0" relativeHeight="251663360" behindDoc="0" locked="0" layoutInCell="1" allowOverlap="1" wp14:anchorId="6B9EE89D" wp14:editId="3DC755F8">
            <wp:simplePos x="0" y="0"/>
            <wp:positionH relativeFrom="column">
              <wp:posOffset>281940</wp:posOffset>
            </wp:positionH>
            <wp:positionV relativeFrom="paragraph">
              <wp:posOffset>1003300</wp:posOffset>
            </wp:positionV>
            <wp:extent cx="5276850" cy="2223135"/>
            <wp:effectExtent l="0" t="0" r="0" b="5715"/>
            <wp:wrapThrough wrapText="bothSides">
              <wp:wrapPolygon edited="0">
                <wp:start x="0" y="0"/>
                <wp:lineTo x="0" y="21470"/>
                <wp:lineTo x="21522" y="21470"/>
                <wp:lineTo x="21522"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AEE" w:rsidRPr="00D37DC9">
        <w:rPr>
          <w:rFonts w:ascii="Times New Roman" w:eastAsia="Arial" w:hAnsi="Times New Roman"/>
          <w:sz w:val="24"/>
          <w:szCs w:val="24"/>
        </w:rPr>
        <w:t>Los terrenos comprenden los correspondientes a las sedes administrativas y parqueaderos de propiedad del IDU, así como los terrenos de los parqueaderos subterráneos ubicados sobre la carrera 15 de propiedad de Bogotá DC, recibidos por el IDU a través de Convenios interadministrativos</w:t>
      </w:r>
      <w:r w:rsidR="002D2AEE">
        <w:rPr>
          <w:rFonts w:ascii="Times New Roman" w:eastAsia="Arial" w:hAnsi="Times New Roman"/>
          <w:sz w:val="24"/>
          <w:szCs w:val="24"/>
        </w:rPr>
        <w:t>,</w:t>
      </w:r>
      <w:r w:rsidR="002D2AEE" w:rsidRPr="00D37DC9">
        <w:rPr>
          <w:rFonts w:ascii="Times New Roman" w:eastAsia="Arial" w:hAnsi="Times New Roman"/>
          <w:sz w:val="24"/>
          <w:szCs w:val="24"/>
        </w:rPr>
        <w:t xml:space="preserve"> administración, mantenimiento y aprovechamiento económico de una zona de cesión obligatoria, firmados con el DADEP.</w:t>
      </w:r>
    </w:p>
    <w:p w14:paraId="2339EC6D" w14:textId="3DCB2AC2" w:rsidR="005E1094" w:rsidRDefault="005E1094" w:rsidP="00AB4D08">
      <w:pPr>
        <w:spacing w:after="0" w:line="240" w:lineRule="auto"/>
        <w:ind w:left="567"/>
        <w:contextualSpacing/>
        <w:jc w:val="both"/>
        <w:rPr>
          <w:rFonts w:ascii="Times New Roman" w:eastAsia="Arial" w:hAnsi="Times New Roman"/>
          <w:sz w:val="24"/>
          <w:szCs w:val="24"/>
        </w:rPr>
      </w:pPr>
      <w:r w:rsidRPr="00D37DC9">
        <w:rPr>
          <w:rFonts w:ascii="Times New Roman" w:eastAsia="Arial" w:hAnsi="Times New Roman"/>
          <w:sz w:val="24"/>
          <w:szCs w:val="24"/>
        </w:rPr>
        <w:t>Las edificaciones corresponden a las sedes administrativas del IDU, así como las correspondientes a los parqueaderos de propiedad del IDU y las construcciones realizadas de los parqueaderos ubicados sobre la carrera 15</w:t>
      </w:r>
      <w:r>
        <w:rPr>
          <w:rFonts w:ascii="Times New Roman" w:eastAsia="Arial" w:hAnsi="Times New Roman"/>
          <w:sz w:val="24"/>
          <w:szCs w:val="24"/>
        </w:rPr>
        <w:t>.</w:t>
      </w:r>
    </w:p>
    <w:p w14:paraId="2E0DBF19" w14:textId="77777777" w:rsidR="001666B2" w:rsidRDefault="001666B2" w:rsidP="00AB4D08">
      <w:pPr>
        <w:spacing w:after="0" w:line="240" w:lineRule="auto"/>
        <w:ind w:left="567"/>
        <w:contextualSpacing/>
        <w:jc w:val="both"/>
        <w:rPr>
          <w:rFonts w:ascii="Times New Roman" w:eastAsia="Arial" w:hAnsi="Times New Roman"/>
          <w:sz w:val="24"/>
          <w:szCs w:val="24"/>
        </w:rPr>
      </w:pPr>
    </w:p>
    <w:p w14:paraId="6068FAB8" w14:textId="77777777" w:rsidR="001666B2" w:rsidRDefault="001666B2" w:rsidP="00AB4D08">
      <w:pPr>
        <w:spacing w:after="0" w:line="240" w:lineRule="auto"/>
        <w:ind w:left="567"/>
        <w:contextualSpacing/>
        <w:jc w:val="both"/>
        <w:rPr>
          <w:rFonts w:ascii="Times New Roman" w:eastAsia="Arial" w:hAnsi="Times New Roman"/>
          <w:sz w:val="24"/>
          <w:szCs w:val="24"/>
        </w:rPr>
      </w:pPr>
    </w:p>
    <w:p w14:paraId="3667607A" w14:textId="77777777" w:rsidR="001666B2" w:rsidRDefault="001666B2" w:rsidP="00AB4D08">
      <w:pPr>
        <w:spacing w:after="0" w:line="240" w:lineRule="auto"/>
        <w:ind w:left="567"/>
        <w:contextualSpacing/>
        <w:jc w:val="both"/>
        <w:rPr>
          <w:rFonts w:ascii="Times New Roman" w:eastAsia="Arial" w:hAnsi="Times New Roman"/>
          <w:sz w:val="24"/>
          <w:szCs w:val="24"/>
        </w:rPr>
      </w:pPr>
    </w:p>
    <w:p w14:paraId="3CD87877" w14:textId="57924FFC" w:rsidR="001666B2" w:rsidRPr="00D37DC9" w:rsidRDefault="001666B2" w:rsidP="00AB4D08">
      <w:pPr>
        <w:spacing w:after="0" w:line="240" w:lineRule="auto"/>
        <w:ind w:left="567"/>
        <w:contextualSpacing/>
        <w:jc w:val="both"/>
        <w:rPr>
          <w:rFonts w:ascii="Times New Roman" w:eastAsia="Arial" w:hAnsi="Times New Roman"/>
          <w:sz w:val="24"/>
          <w:szCs w:val="24"/>
        </w:rPr>
      </w:pPr>
      <w:r w:rsidRPr="00D37DC9">
        <w:rPr>
          <w:rFonts w:ascii="Times New Roman" w:eastAsia="Arial" w:hAnsi="Times New Roman"/>
          <w:sz w:val="24"/>
          <w:szCs w:val="24"/>
        </w:rPr>
        <w:lastRenderedPageBreak/>
        <w:t>La propiedad, planta y equipo no explotado corresponde a los bienes de propiedad de la entidad, que no están siendo objeto de uso por parte del IDU. Es importante precisar que los bienes recibidos en dación en pago, corresponden a participaciones recibidas por el IDU, como pago de cuentas por cobrar por contribución de valorización.</w:t>
      </w:r>
    </w:p>
    <w:p w14:paraId="64AE6A79" w14:textId="62E9C810" w:rsidR="0011129B" w:rsidRDefault="006306FB" w:rsidP="00AB4D08">
      <w:pPr>
        <w:spacing w:after="0" w:line="240" w:lineRule="auto"/>
        <w:ind w:left="567"/>
        <w:contextualSpacing/>
        <w:jc w:val="both"/>
      </w:pPr>
      <w:r w:rsidRPr="006306FB">
        <w:rPr>
          <w:noProof/>
          <w:lang w:eastAsia="es-CO"/>
        </w:rPr>
        <w:drawing>
          <wp:anchor distT="0" distB="0" distL="114300" distR="114300" simplePos="0" relativeHeight="251664384" behindDoc="0" locked="0" layoutInCell="1" allowOverlap="1" wp14:anchorId="5E2D8D55" wp14:editId="42B57BB4">
            <wp:simplePos x="0" y="0"/>
            <wp:positionH relativeFrom="column">
              <wp:posOffset>-13335</wp:posOffset>
            </wp:positionH>
            <wp:positionV relativeFrom="paragraph">
              <wp:posOffset>262255</wp:posOffset>
            </wp:positionV>
            <wp:extent cx="5791835" cy="3998547"/>
            <wp:effectExtent l="0" t="0" r="0" b="2540"/>
            <wp:wrapThrough wrapText="bothSides">
              <wp:wrapPolygon edited="0">
                <wp:start x="0" y="0"/>
                <wp:lineTo x="0" y="21511"/>
                <wp:lineTo x="21527" y="21511"/>
                <wp:lineTo x="21527" y="15233"/>
                <wp:lineTo x="21242" y="15130"/>
                <wp:lineTo x="19040" y="14821"/>
                <wp:lineTo x="21384" y="14100"/>
                <wp:lineTo x="21384" y="13895"/>
                <wp:lineTo x="19040" y="13174"/>
                <wp:lineTo x="20887" y="13174"/>
                <wp:lineTo x="21527" y="12762"/>
                <wp:lineTo x="21527" y="10086"/>
                <wp:lineTo x="21242" y="9881"/>
                <wp:lineTo x="19040" y="9881"/>
                <wp:lineTo x="21384" y="8954"/>
                <wp:lineTo x="21384" y="8543"/>
                <wp:lineTo x="19040" y="8234"/>
                <wp:lineTo x="21527" y="7616"/>
                <wp:lineTo x="21527" y="5043"/>
                <wp:lineTo x="19040" y="4940"/>
                <wp:lineTo x="21384" y="4014"/>
                <wp:lineTo x="21384" y="3602"/>
                <wp:lineTo x="20248" y="3294"/>
                <wp:lineTo x="21527" y="2470"/>
                <wp:lineTo x="21527"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835" cy="3998547"/>
                    </a:xfrm>
                    <a:prstGeom prst="rect">
                      <a:avLst/>
                    </a:prstGeom>
                    <a:noFill/>
                    <a:ln>
                      <a:noFill/>
                    </a:ln>
                  </pic:spPr>
                </pic:pic>
              </a:graphicData>
            </a:graphic>
          </wp:anchor>
        </w:drawing>
      </w:r>
    </w:p>
    <w:p w14:paraId="05331606" w14:textId="46314A06" w:rsidR="006306FB" w:rsidRDefault="006306FB"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En Cumplimiento de la normatividad vigente y el Manual de Políticas Contables del IDU, se realiza el respectivo análisis de indicios de deterioro para los bienes inmuebles, obteniendo como resultado que con corte a la vigencia 2019, no se presenta evidencia de deterioro a registrar a los inmuebles.</w:t>
      </w:r>
    </w:p>
    <w:p w14:paraId="38CA5EC8" w14:textId="54D4A075" w:rsidR="0011129B" w:rsidRDefault="0011129B" w:rsidP="00AB4D08">
      <w:pPr>
        <w:spacing w:after="0" w:line="240" w:lineRule="auto"/>
        <w:ind w:left="567"/>
        <w:contextualSpacing/>
        <w:jc w:val="both"/>
        <w:rPr>
          <w:rFonts w:ascii="Times New Roman" w:eastAsia="Arial" w:hAnsi="Times New Roman"/>
          <w:sz w:val="24"/>
          <w:szCs w:val="24"/>
        </w:rPr>
      </w:pPr>
    </w:p>
    <w:p w14:paraId="46A303CF" w14:textId="5DE1C110" w:rsidR="0011129B" w:rsidRDefault="0011129B" w:rsidP="00AB4D08">
      <w:pPr>
        <w:spacing w:after="0" w:line="240" w:lineRule="auto"/>
        <w:ind w:left="567"/>
        <w:contextualSpacing/>
        <w:jc w:val="both"/>
        <w:rPr>
          <w:rFonts w:ascii="Times New Roman" w:eastAsia="Arial" w:hAnsi="Times New Roman"/>
          <w:sz w:val="24"/>
          <w:szCs w:val="24"/>
        </w:rPr>
      </w:pPr>
    </w:p>
    <w:p w14:paraId="76D5FE47" w14:textId="77777777" w:rsidR="0011129B" w:rsidRDefault="0011129B" w:rsidP="00AB4D08">
      <w:pPr>
        <w:spacing w:after="0" w:line="240" w:lineRule="auto"/>
        <w:ind w:left="567"/>
        <w:contextualSpacing/>
        <w:jc w:val="both"/>
        <w:rPr>
          <w:rFonts w:ascii="Times New Roman" w:eastAsia="Arial" w:hAnsi="Times New Roman"/>
          <w:sz w:val="24"/>
          <w:szCs w:val="24"/>
        </w:rPr>
      </w:pPr>
    </w:p>
    <w:p w14:paraId="7D9B5019" w14:textId="77777777" w:rsidR="0011129B" w:rsidRDefault="0011129B" w:rsidP="00AB4D08">
      <w:pPr>
        <w:spacing w:after="0" w:line="240" w:lineRule="auto"/>
        <w:ind w:left="567"/>
        <w:contextualSpacing/>
        <w:jc w:val="both"/>
        <w:rPr>
          <w:rFonts w:ascii="Times New Roman" w:eastAsia="Arial" w:hAnsi="Times New Roman"/>
          <w:sz w:val="24"/>
          <w:szCs w:val="24"/>
        </w:rPr>
      </w:pPr>
    </w:p>
    <w:p w14:paraId="4A5CBD73" w14:textId="77777777" w:rsidR="0011129B" w:rsidRDefault="0011129B" w:rsidP="00AB4D08">
      <w:pPr>
        <w:spacing w:after="0" w:line="240" w:lineRule="auto"/>
        <w:ind w:left="567"/>
        <w:contextualSpacing/>
        <w:jc w:val="both"/>
        <w:rPr>
          <w:rFonts w:ascii="Times New Roman" w:eastAsia="Arial" w:hAnsi="Times New Roman"/>
          <w:sz w:val="24"/>
          <w:szCs w:val="24"/>
        </w:rPr>
      </w:pPr>
    </w:p>
    <w:p w14:paraId="62DCD40B" w14:textId="77777777" w:rsidR="0011129B" w:rsidRPr="00B52057" w:rsidRDefault="0011129B" w:rsidP="00AB4D08">
      <w:pPr>
        <w:spacing w:after="0" w:line="240" w:lineRule="auto"/>
        <w:ind w:left="567"/>
        <w:contextualSpacing/>
        <w:jc w:val="both"/>
        <w:rPr>
          <w:rFonts w:ascii="Times New Roman" w:hAnsi="Times New Roman"/>
          <w:sz w:val="24"/>
          <w:szCs w:val="24"/>
        </w:rPr>
      </w:pPr>
    </w:p>
    <w:p w14:paraId="08BA88CE" w14:textId="241B2050" w:rsidR="00BB7AD8" w:rsidRPr="00B52057" w:rsidRDefault="00BB7AD8" w:rsidP="00AB4D08">
      <w:pPr>
        <w:spacing w:after="0" w:line="240" w:lineRule="auto"/>
        <w:ind w:left="567"/>
        <w:contextualSpacing/>
        <w:jc w:val="center"/>
        <w:rPr>
          <w:rFonts w:ascii="Times New Roman" w:hAnsi="Times New Roman"/>
          <w:sz w:val="24"/>
          <w:szCs w:val="24"/>
        </w:rPr>
      </w:pPr>
    </w:p>
    <w:p w14:paraId="3EC57C55" w14:textId="4427A4C3" w:rsidR="00BB7AD8" w:rsidRPr="00B52057" w:rsidRDefault="00BB7AD8" w:rsidP="00AB4D08">
      <w:pPr>
        <w:spacing w:after="0" w:line="240" w:lineRule="auto"/>
        <w:contextualSpacing/>
        <w:jc w:val="center"/>
        <w:rPr>
          <w:rFonts w:ascii="Times New Roman" w:hAnsi="Times New Roman"/>
          <w:sz w:val="24"/>
          <w:szCs w:val="24"/>
        </w:rPr>
      </w:pPr>
    </w:p>
    <w:p w14:paraId="0472FC43" w14:textId="77777777" w:rsidR="00BB7AD8" w:rsidRPr="00B52057" w:rsidRDefault="00BB7AD8" w:rsidP="00AB4D08">
      <w:pPr>
        <w:spacing w:after="0" w:line="240" w:lineRule="auto"/>
        <w:contextualSpacing/>
        <w:jc w:val="center"/>
        <w:rPr>
          <w:rFonts w:ascii="Times New Roman" w:hAnsi="Times New Roman"/>
          <w:sz w:val="24"/>
          <w:szCs w:val="24"/>
        </w:rPr>
      </w:pPr>
    </w:p>
    <w:p w14:paraId="04151F36" w14:textId="3FB36239" w:rsidR="00BB7AD8" w:rsidRPr="00B52057" w:rsidRDefault="00BB7AD8" w:rsidP="00AB4D08">
      <w:pPr>
        <w:spacing w:after="0" w:line="240" w:lineRule="auto"/>
        <w:contextualSpacing/>
        <w:jc w:val="center"/>
        <w:rPr>
          <w:rFonts w:ascii="Times New Roman" w:hAnsi="Times New Roman"/>
          <w:sz w:val="24"/>
          <w:szCs w:val="24"/>
        </w:rPr>
      </w:pPr>
    </w:p>
    <w:p w14:paraId="408FA4C4" w14:textId="77777777" w:rsidR="00983E40" w:rsidRPr="00B52057" w:rsidRDefault="00983E40" w:rsidP="00AB4D08">
      <w:pPr>
        <w:pStyle w:val="Prrafodelista"/>
        <w:spacing w:after="0" w:line="240" w:lineRule="auto"/>
        <w:jc w:val="both"/>
        <w:rPr>
          <w:rFonts w:ascii="Times New Roman" w:hAnsi="Times New Roman"/>
          <w:sz w:val="24"/>
          <w:szCs w:val="24"/>
        </w:rPr>
      </w:pPr>
    </w:p>
    <w:p w14:paraId="08FBF221" w14:textId="77777777" w:rsidR="002D1A9A" w:rsidRDefault="002D1A9A" w:rsidP="00AB4D08">
      <w:pPr>
        <w:pStyle w:val="Ttulo2"/>
        <w:numPr>
          <w:ilvl w:val="1"/>
          <w:numId w:val="27"/>
        </w:numPr>
        <w:spacing w:line="240" w:lineRule="auto"/>
        <w:ind w:left="567" w:hanging="567"/>
        <w:contextualSpacing/>
        <w:rPr>
          <w:rFonts w:cs="Times New Roman"/>
          <w:szCs w:val="24"/>
        </w:rPr>
        <w:sectPr w:rsidR="002D1A9A" w:rsidSect="0073200F">
          <w:headerReference w:type="default" r:id="rId44"/>
          <w:footerReference w:type="default" r:id="rId45"/>
          <w:pgSz w:w="12240" w:h="15840"/>
          <w:pgMar w:top="1418" w:right="1418" w:bottom="1418" w:left="1701" w:header="709" w:footer="709" w:gutter="0"/>
          <w:cols w:space="708"/>
          <w:docGrid w:linePitch="360"/>
        </w:sectPr>
      </w:pPr>
    </w:p>
    <w:p w14:paraId="61B0DAD4" w14:textId="0066F61A" w:rsidR="00983E40" w:rsidRPr="00B52057" w:rsidRDefault="00CC07FE" w:rsidP="00AB4D08">
      <w:pPr>
        <w:pStyle w:val="Ttulo2"/>
        <w:numPr>
          <w:ilvl w:val="1"/>
          <w:numId w:val="27"/>
        </w:numPr>
        <w:spacing w:line="240" w:lineRule="auto"/>
        <w:ind w:left="567" w:hanging="567"/>
        <w:contextualSpacing/>
        <w:rPr>
          <w:rFonts w:cs="Times New Roman"/>
          <w:szCs w:val="24"/>
        </w:rPr>
      </w:pPr>
      <w:bookmarkStart w:id="48" w:name="_Toc32317263"/>
      <w:r>
        <w:rPr>
          <w:rFonts w:cs="Times New Roman"/>
          <w:szCs w:val="24"/>
        </w:rPr>
        <w:lastRenderedPageBreak/>
        <w:t>Bienes muebles</w:t>
      </w:r>
      <w:bookmarkEnd w:id="48"/>
    </w:p>
    <w:p w14:paraId="1668522B" w14:textId="77777777" w:rsidR="00321E8D" w:rsidRDefault="00321E8D" w:rsidP="00AB4D08">
      <w:pPr>
        <w:spacing w:after="0" w:line="240" w:lineRule="auto"/>
        <w:ind w:left="567"/>
        <w:contextualSpacing/>
        <w:jc w:val="both"/>
        <w:rPr>
          <w:rFonts w:ascii="Times New Roman" w:hAnsi="Times New Roman"/>
          <w:sz w:val="24"/>
          <w:szCs w:val="24"/>
        </w:rPr>
      </w:pPr>
    </w:p>
    <w:p w14:paraId="125E4F98" w14:textId="0E0C4E9E" w:rsidR="000A1916" w:rsidRDefault="002D1A9A" w:rsidP="00AB4D08">
      <w:pPr>
        <w:spacing w:line="240" w:lineRule="auto"/>
        <w:contextualSpacing/>
        <w:rPr>
          <w:rFonts w:ascii="Times New Roman" w:eastAsia="Arial" w:hAnsi="Times New Roman"/>
          <w:sz w:val="24"/>
          <w:szCs w:val="24"/>
        </w:rPr>
      </w:pPr>
      <w:r w:rsidRPr="00195875">
        <w:rPr>
          <w:noProof/>
          <w:lang w:eastAsia="es-CO"/>
        </w:rPr>
        <w:drawing>
          <wp:anchor distT="0" distB="0" distL="114300" distR="114300" simplePos="0" relativeHeight="251665408" behindDoc="0" locked="0" layoutInCell="1" allowOverlap="1" wp14:anchorId="31D6C305" wp14:editId="1CE6B202">
            <wp:simplePos x="0" y="0"/>
            <wp:positionH relativeFrom="column">
              <wp:posOffset>-271780</wp:posOffset>
            </wp:positionH>
            <wp:positionV relativeFrom="paragraph">
              <wp:posOffset>422275</wp:posOffset>
            </wp:positionV>
            <wp:extent cx="8792845" cy="4591050"/>
            <wp:effectExtent l="0" t="0" r="8255" b="0"/>
            <wp:wrapThrough wrapText="bothSides">
              <wp:wrapPolygon edited="0">
                <wp:start x="0" y="0"/>
                <wp:lineTo x="0" y="21510"/>
                <wp:lineTo x="19187" y="21510"/>
                <wp:lineTo x="21199" y="21421"/>
                <wp:lineTo x="21573" y="21241"/>
                <wp:lineTo x="21573" y="15864"/>
                <wp:lineTo x="19187" y="15774"/>
                <wp:lineTo x="21480" y="15416"/>
                <wp:lineTo x="21573" y="14609"/>
                <wp:lineTo x="21573"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92845"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916" w:rsidRPr="00D37DC9">
        <w:rPr>
          <w:rFonts w:ascii="Times New Roman" w:eastAsia="Arial" w:hAnsi="Times New Roman"/>
          <w:sz w:val="24"/>
          <w:szCs w:val="24"/>
        </w:rPr>
        <w:t>El siguiente es el movimiento de lo</w:t>
      </w:r>
      <w:r w:rsidR="000A1916">
        <w:rPr>
          <w:rFonts w:ascii="Times New Roman" w:eastAsia="Arial" w:hAnsi="Times New Roman"/>
          <w:sz w:val="24"/>
          <w:szCs w:val="24"/>
        </w:rPr>
        <w:t xml:space="preserve">s bienes muebles de la entidad, con corte a </w:t>
      </w:r>
      <w:r w:rsidR="000A1916" w:rsidRPr="00D37DC9">
        <w:rPr>
          <w:rFonts w:ascii="Times New Roman" w:eastAsia="Arial" w:hAnsi="Times New Roman"/>
          <w:sz w:val="24"/>
          <w:szCs w:val="24"/>
        </w:rPr>
        <w:t>diciembre 31 de 2019:</w:t>
      </w:r>
    </w:p>
    <w:p w14:paraId="1590731C" w14:textId="225ABCDE" w:rsidR="000A1916" w:rsidRDefault="000A1916" w:rsidP="00AB4D08">
      <w:pPr>
        <w:spacing w:line="240" w:lineRule="auto"/>
        <w:contextualSpacing/>
        <w:rPr>
          <w:rFonts w:ascii="Times New Roman" w:eastAsia="Arial" w:hAnsi="Times New Roman"/>
          <w:sz w:val="24"/>
          <w:szCs w:val="24"/>
        </w:rPr>
      </w:pPr>
    </w:p>
    <w:p w14:paraId="2DD4F901" w14:textId="77777777" w:rsidR="002D1A9A" w:rsidRDefault="002D1A9A" w:rsidP="00AB4D08">
      <w:pPr>
        <w:spacing w:line="240" w:lineRule="auto"/>
        <w:contextualSpacing/>
        <w:rPr>
          <w:rFonts w:ascii="Times New Roman" w:eastAsia="Arial" w:hAnsi="Times New Roman"/>
          <w:sz w:val="24"/>
          <w:szCs w:val="24"/>
        </w:rPr>
        <w:sectPr w:rsidR="002D1A9A" w:rsidSect="002D1A9A">
          <w:pgSz w:w="15840" w:h="12240" w:orient="landscape"/>
          <w:pgMar w:top="1701" w:right="1418" w:bottom="1418" w:left="1418" w:header="709" w:footer="709" w:gutter="0"/>
          <w:cols w:space="708"/>
          <w:docGrid w:linePitch="360"/>
        </w:sectPr>
      </w:pPr>
    </w:p>
    <w:p w14:paraId="07788350" w14:textId="39E1D9D7" w:rsidR="00EC6E2C" w:rsidRDefault="00EC6E2C"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lastRenderedPageBreak/>
        <w:t xml:space="preserve">Durante </w:t>
      </w:r>
      <w:r>
        <w:rPr>
          <w:rFonts w:ascii="Times New Roman" w:eastAsia="Arial" w:hAnsi="Times New Roman"/>
          <w:sz w:val="24"/>
          <w:szCs w:val="24"/>
        </w:rPr>
        <w:t>la vigencia</w:t>
      </w:r>
      <w:r w:rsidRPr="002E4A43">
        <w:rPr>
          <w:rFonts w:ascii="Times New Roman" w:eastAsia="Arial" w:hAnsi="Times New Roman"/>
          <w:sz w:val="24"/>
          <w:szCs w:val="24"/>
        </w:rPr>
        <w:t xml:space="preserve"> 2019 se realizaron adquisiciones por </w:t>
      </w:r>
      <w:r>
        <w:rPr>
          <w:rFonts w:ascii="Times New Roman" w:eastAsia="Arial" w:hAnsi="Times New Roman"/>
          <w:sz w:val="24"/>
          <w:szCs w:val="24"/>
        </w:rPr>
        <w:t xml:space="preserve">bienes muebles por </w:t>
      </w:r>
      <w:r w:rsidRPr="002E4A43">
        <w:rPr>
          <w:rFonts w:ascii="Times New Roman" w:eastAsia="Arial" w:hAnsi="Times New Roman"/>
          <w:sz w:val="24"/>
          <w:szCs w:val="24"/>
        </w:rPr>
        <w:t>valor de $1.137.621.688, a continuación se detallan las más representativas:</w:t>
      </w:r>
    </w:p>
    <w:p w14:paraId="5F35DF0E" w14:textId="5C2F2504" w:rsidR="00EC6E2C" w:rsidRDefault="00E91F55" w:rsidP="00AB4D08">
      <w:pPr>
        <w:spacing w:line="240" w:lineRule="auto"/>
        <w:contextualSpacing/>
        <w:rPr>
          <w:rFonts w:ascii="Times New Roman" w:hAnsi="Times New Roman"/>
          <w:noProof/>
        </w:rPr>
      </w:pPr>
      <w:r w:rsidRPr="00E91F55">
        <w:rPr>
          <w:noProof/>
          <w:lang w:eastAsia="es-CO"/>
        </w:rPr>
        <w:drawing>
          <wp:anchor distT="0" distB="0" distL="114300" distR="114300" simplePos="0" relativeHeight="251666432" behindDoc="0" locked="0" layoutInCell="1" allowOverlap="1" wp14:anchorId="206A4066" wp14:editId="25C57B77">
            <wp:simplePos x="0" y="0"/>
            <wp:positionH relativeFrom="column">
              <wp:posOffset>1074668</wp:posOffset>
            </wp:positionH>
            <wp:positionV relativeFrom="paragraph">
              <wp:posOffset>153035</wp:posOffset>
            </wp:positionV>
            <wp:extent cx="3466465" cy="2425065"/>
            <wp:effectExtent l="0" t="0" r="635" b="0"/>
            <wp:wrapThrough wrapText="bothSides">
              <wp:wrapPolygon edited="0">
                <wp:start x="0" y="0"/>
                <wp:lineTo x="0" y="21379"/>
                <wp:lineTo x="21485" y="21379"/>
                <wp:lineTo x="21485" y="19683"/>
                <wp:lineTo x="21248" y="19683"/>
                <wp:lineTo x="16500" y="19004"/>
                <wp:lineTo x="21485" y="19004"/>
                <wp:lineTo x="21485" y="11199"/>
                <wp:lineTo x="21010" y="10859"/>
                <wp:lineTo x="21485" y="9841"/>
                <wp:lineTo x="21485" y="6278"/>
                <wp:lineTo x="21248" y="6108"/>
                <wp:lineTo x="16500" y="5430"/>
                <wp:lineTo x="21129" y="4242"/>
                <wp:lineTo x="21129" y="3733"/>
                <wp:lineTo x="16500" y="2715"/>
                <wp:lineTo x="19467" y="2715"/>
                <wp:lineTo x="21485" y="1697"/>
                <wp:lineTo x="21485"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6465"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B04C3" w14:textId="77777777" w:rsidR="00EC6E2C" w:rsidRDefault="00EC6E2C" w:rsidP="00AB4D08">
      <w:pPr>
        <w:spacing w:line="240" w:lineRule="auto"/>
        <w:contextualSpacing/>
        <w:rPr>
          <w:rFonts w:ascii="Times New Roman" w:hAnsi="Times New Roman"/>
          <w:noProof/>
        </w:rPr>
      </w:pPr>
    </w:p>
    <w:p w14:paraId="644B9986" w14:textId="77777777" w:rsidR="00E91F55" w:rsidRDefault="00E91F55" w:rsidP="00AB4D08">
      <w:pPr>
        <w:spacing w:line="240" w:lineRule="auto"/>
        <w:contextualSpacing/>
        <w:rPr>
          <w:rFonts w:ascii="Times New Roman" w:hAnsi="Times New Roman"/>
          <w:noProof/>
        </w:rPr>
      </w:pPr>
    </w:p>
    <w:p w14:paraId="434D8518" w14:textId="77777777" w:rsidR="00E91F55" w:rsidRDefault="00E91F55" w:rsidP="00AB4D08">
      <w:pPr>
        <w:spacing w:line="240" w:lineRule="auto"/>
        <w:contextualSpacing/>
        <w:rPr>
          <w:rFonts w:ascii="Times New Roman" w:hAnsi="Times New Roman"/>
          <w:noProof/>
        </w:rPr>
      </w:pPr>
    </w:p>
    <w:p w14:paraId="0FF7B447" w14:textId="77777777" w:rsidR="00E91F55" w:rsidRDefault="00E91F55" w:rsidP="00AB4D08">
      <w:pPr>
        <w:spacing w:line="240" w:lineRule="auto"/>
        <w:contextualSpacing/>
        <w:rPr>
          <w:rFonts w:ascii="Times New Roman" w:hAnsi="Times New Roman"/>
          <w:noProof/>
        </w:rPr>
      </w:pPr>
    </w:p>
    <w:p w14:paraId="2CCBB101" w14:textId="77777777" w:rsidR="00E91F55" w:rsidRDefault="00E91F55" w:rsidP="00AB4D08">
      <w:pPr>
        <w:spacing w:line="240" w:lineRule="auto"/>
        <w:contextualSpacing/>
        <w:rPr>
          <w:rFonts w:ascii="Times New Roman" w:hAnsi="Times New Roman"/>
          <w:noProof/>
        </w:rPr>
      </w:pPr>
    </w:p>
    <w:p w14:paraId="1D524975" w14:textId="77777777" w:rsidR="00E91F55" w:rsidRDefault="00E91F55" w:rsidP="00AB4D08">
      <w:pPr>
        <w:spacing w:line="240" w:lineRule="auto"/>
        <w:contextualSpacing/>
        <w:rPr>
          <w:rFonts w:ascii="Times New Roman" w:hAnsi="Times New Roman"/>
          <w:noProof/>
        </w:rPr>
      </w:pPr>
    </w:p>
    <w:p w14:paraId="78D8DC07" w14:textId="77777777" w:rsidR="00E91F55" w:rsidRDefault="00E91F55" w:rsidP="00AB4D08">
      <w:pPr>
        <w:spacing w:line="240" w:lineRule="auto"/>
        <w:contextualSpacing/>
        <w:rPr>
          <w:rFonts w:ascii="Times New Roman" w:hAnsi="Times New Roman"/>
          <w:noProof/>
        </w:rPr>
      </w:pPr>
    </w:p>
    <w:p w14:paraId="327DE02C" w14:textId="77777777" w:rsidR="00E91F55" w:rsidRDefault="00E91F55" w:rsidP="00AB4D08">
      <w:pPr>
        <w:spacing w:line="240" w:lineRule="auto"/>
        <w:contextualSpacing/>
        <w:rPr>
          <w:rFonts w:ascii="Times New Roman" w:hAnsi="Times New Roman"/>
          <w:noProof/>
        </w:rPr>
      </w:pPr>
    </w:p>
    <w:p w14:paraId="220DB38E" w14:textId="77777777" w:rsidR="00E91F55" w:rsidRDefault="00E91F55" w:rsidP="00AB4D08">
      <w:pPr>
        <w:spacing w:line="240" w:lineRule="auto"/>
        <w:contextualSpacing/>
        <w:rPr>
          <w:rFonts w:ascii="Times New Roman" w:hAnsi="Times New Roman"/>
          <w:noProof/>
        </w:rPr>
      </w:pPr>
    </w:p>
    <w:p w14:paraId="036461C2" w14:textId="77777777" w:rsidR="00863644" w:rsidRDefault="00863644" w:rsidP="00AB4D08">
      <w:pPr>
        <w:spacing w:line="240" w:lineRule="auto"/>
        <w:contextualSpacing/>
        <w:rPr>
          <w:rFonts w:ascii="Times New Roman" w:hAnsi="Times New Roman"/>
          <w:noProof/>
        </w:rPr>
      </w:pPr>
    </w:p>
    <w:p w14:paraId="3D06FF22" w14:textId="77777777" w:rsidR="00863644" w:rsidRDefault="00863644" w:rsidP="00AB4D08">
      <w:pPr>
        <w:spacing w:line="240" w:lineRule="auto"/>
        <w:contextualSpacing/>
        <w:rPr>
          <w:rFonts w:ascii="Times New Roman" w:hAnsi="Times New Roman"/>
          <w:noProof/>
        </w:rPr>
      </w:pPr>
    </w:p>
    <w:p w14:paraId="507682E8" w14:textId="77777777" w:rsidR="00863644" w:rsidRDefault="00863644" w:rsidP="00AB4D08">
      <w:pPr>
        <w:spacing w:line="240" w:lineRule="auto"/>
        <w:contextualSpacing/>
        <w:rPr>
          <w:rFonts w:ascii="Times New Roman" w:hAnsi="Times New Roman"/>
          <w:noProof/>
        </w:rPr>
      </w:pPr>
    </w:p>
    <w:p w14:paraId="6D88EA07" w14:textId="77777777" w:rsidR="00863644" w:rsidRDefault="00863644" w:rsidP="00AB4D08">
      <w:pPr>
        <w:spacing w:line="240" w:lineRule="auto"/>
        <w:contextualSpacing/>
        <w:rPr>
          <w:rFonts w:ascii="Times New Roman" w:hAnsi="Times New Roman"/>
          <w:noProof/>
        </w:rPr>
      </w:pPr>
    </w:p>
    <w:p w14:paraId="3886F007" w14:textId="77777777" w:rsidR="00863644" w:rsidRDefault="00863644" w:rsidP="00AB4D08">
      <w:pPr>
        <w:spacing w:line="240" w:lineRule="auto"/>
        <w:contextualSpacing/>
        <w:rPr>
          <w:rFonts w:ascii="Times New Roman" w:hAnsi="Times New Roman"/>
          <w:noProof/>
        </w:rPr>
      </w:pPr>
    </w:p>
    <w:p w14:paraId="2BB2FC29" w14:textId="77777777" w:rsidR="00863644" w:rsidRDefault="00863644" w:rsidP="00AB4D08">
      <w:pPr>
        <w:spacing w:line="240" w:lineRule="auto"/>
        <w:contextualSpacing/>
        <w:rPr>
          <w:rFonts w:ascii="Times New Roman" w:hAnsi="Times New Roman"/>
          <w:noProof/>
        </w:rPr>
      </w:pPr>
    </w:p>
    <w:p w14:paraId="5E00C559"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0DF1EF23" w14:textId="77777777" w:rsidR="00E91F55" w:rsidRDefault="00E91F55"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Mediante la Resolución 3113 de 2019 se ordenó la baja de bienes inservibles y servibles no utilizables con un valor en libros de $121.030.108 así:</w:t>
      </w:r>
    </w:p>
    <w:p w14:paraId="549264A6" w14:textId="0467E725" w:rsidR="00E91F55" w:rsidRDefault="00ED36F3" w:rsidP="00AB4D08">
      <w:pPr>
        <w:spacing w:after="0" w:line="240" w:lineRule="auto"/>
        <w:ind w:left="567"/>
        <w:contextualSpacing/>
        <w:jc w:val="both"/>
        <w:rPr>
          <w:rFonts w:ascii="Times New Roman" w:eastAsia="Arial" w:hAnsi="Times New Roman"/>
          <w:sz w:val="24"/>
          <w:szCs w:val="24"/>
        </w:rPr>
      </w:pPr>
      <w:r w:rsidRPr="00E91F55">
        <w:rPr>
          <w:noProof/>
          <w:lang w:eastAsia="es-CO"/>
        </w:rPr>
        <w:drawing>
          <wp:anchor distT="0" distB="0" distL="114300" distR="114300" simplePos="0" relativeHeight="251667456" behindDoc="0" locked="0" layoutInCell="1" allowOverlap="1" wp14:anchorId="6BBB88C8" wp14:editId="77753F37">
            <wp:simplePos x="0" y="0"/>
            <wp:positionH relativeFrom="column">
              <wp:posOffset>1527893</wp:posOffset>
            </wp:positionH>
            <wp:positionV relativeFrom="paragraph">
              <wp:posOffset>152648</wp:posOffset>
            </wp:positionV>
            <wp:extent cx="2719070" cy="1160780"/>
            <wp:effectExtent l="0" t="0" r="5080" b="1270"/>
            <wp:wrapThrough wrapText="bothSides">
              <wp:wrapPolygon edited="0">
                <wp:start x="0" y="0"/>
                <wp:lineTo x="0" y="21269"/>
                <wp:lineTo x="21489" y="21269"/>
                <wp:lineTo x="21489"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907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C19FC" w14:textId="4D42529B" w:rsidR="00E91F55" w:rsidRPr="002E4A43" w:rsidRDefault="00E91F55" w:rsidP="00AB4D08">
      <w:pPr>
        <w:spacing w:after="0" w:line="240" w:lineRule="auto"/>
        <w:ind w:left="567"/>
        <w:contextualSpacing/>
        <w:jc w:val="both"/>
        <w:rPr>
          <w:rFonts w:ascii="Times New Roman" w:eastAsia="Arial" w:hAnsi="Times New Roman"/>
          <w:sz w:val="24"/>
          <w:szCs w:val="24"/>
        </w:rPr>
      </w:pPr>
    </w:p>
    <w:p w14:paraId="02AE1193" w14:textId="2942762B" w:rsidR="00E91F55" w:rsidRDefault="00E91F55" w:rsidP="00AB4D08">
      <w:pPr>
        <w:spacing w:line="240" w:lineRule="auto"/>
        <w:contextualSpacing/>
        <w:rPr>
          <w:rFonts w:ascii="Times New Roman" w:hAnsi="Times New Roman"/>
          <w:noProof/>
        </w:rPr>
      </w:pPr>
    </w:p>
    <w:p w14:paraId="6AE4F6B6" w14:textId="77777777" w:rsidR="00E91F55" w:rsidRDefault="00E91F55" w:rsidP="00AB4D08">
      <w:pPr>
        <w:spacing w:line="240" w:lineRule="auto"/>
        <w:contextualSpacing/>
        <w:rPr>
          <w:rFonts w:ascii="Times New Roman" w:hAnsi="Times New Roman"/>
          <w:noProof/>
        </w:rPr>
      </w:pPr>
    </w:p>
    <w:p w14:paraId="6CD99ACE" w14:textId="77777777" w:rsidR="00E91F55" w:rsidRDefault="00E91F55" w:rsidP="00AB4D08">
      <w:pPr>
        <w:spacing w:line="240" w:lineRule="auto"/>
        <w:contextualSpacing/>
        <w:rPr>
          <w:rFonts w:ascii="Times New Roman" w:hAnsi="Times New Roman"/>
          <w:noProof/>
        </w:rPr>
      </w:pPr>
    </w:p>
    <w:p w14:paraId="7314B6F6" w14:textId="77777777" w:rsidR="00E91F55" w:rsidRDefault="00E91F55" w:rsidP="00AB4D08">
      <w:pPr>
        <w:spacing w:line="240" w:lineRule="auto"/>
        <w:contextualSpacing/>
        <w:rPr>
          <w:rFonts w:ascii="Times New Roman" w:hAnsi="Times New Roman"/>
          <w:noProof/>
        </w:rPr>
      </w:pPr>
    </w:p>
    <w:p w14:paraId="40D0FCD1" w14:textId="77777777" w:rsidR="00E91F55" w:rsidRDefault="00E91F55" w:rsidP="00AB4D08">
      <w:pPr>
        <w:pStyle w:val="Prrafodelista"/>
        <w:spacing w:after="0" w:line="240" w:lineRule="auto"/>
        <w:jc w:val="both"/>
        <w:rPr>
          <w:rFonts w:ascii="Times New Roman" w:hAnsi="Times New Roman"/>
          <w:noProof/>
        </w:rPr>
      </w:pPr>
    </w:p>
    <w:p w14:paraId="2C7FB0F3" w14:textId="77777777" w:rsidR="00E91F55" w:rsidRDefault="00E91F55" w:rsidP="00AB4D08">
      <w:pPr>
        <w:pStyle w:val="Prrafodelista"/>
        <w:spacing w:after="0" w:line="240" w:lineRule="auto"/>
        <w:ind w:left="567"/>
        <w:jc w:val="both"/>
        <w:rPr>
          <w:rFonts w:ascii="Times New Roman" w:hAnsi="Times New Roman"/>
          <w:noProof/>
          <w:sz w:val="24"/>
          <w:szCs w:val="24"/>
        </w:rPr>
      </w:pPr>
    </w:p>
    <w:p w14:paraId="2299948C" w14:textId="77777777" w:rsidR="00863644" w:rsidRDefault="00863644" w:rsidP="00AB4D08">
      <w:pPr>
        <w:pStyle w:val="Prrafodelista"/>
        <w:spacing w:after="0" w:line="240" w:lineRule="auto"/>
        <w:ind w:left="567"/>
        <w:jc w:val="both"/>
        <w:rPr>
          <w:rFonts w:ascii="Times New Roman" w:hAnsi="Times New Roman"/>
          <w:noProof/>
          <w:sz w:val="24"/>
          <w:szCs w:val="24"/>
        </w:rPr>
      </w:pPr>
    </w:p>
    <w:p w14:paraId="15EC78AB" w14:textId="5E385C40" w:rsidR="00E91F55" w:rsidRPr="00207FCE" w:rsidRDefault="00E91F55" w:rsidP="00AB4D08">
      <w:pPr>
        <w:spacing w:after="0" w:line="240" w:lineRule="auto"/>
        <w:ind w:left="567"/>
        <w:contextualSpacing/>
        <w:jc w:val="both"/>
        <w:rPr>
          <w:rFonts w:ascii="Times New Roman" w:eastAsia="Arial" w:hAnsi="Times New Roman"/>
          <w:sz w:val="24"/>
          <w:szCs w:val="24"/>
        </w:rPr>
      </w:pPr>
      <w:r w:rsidRPr="00207FCE">
        <w:rPr>
          <w:rFonts w:ascii="Times New Roman" w:eastAsia="Arial" w:hAnsi="Times New Roman"/>
          <w:sz w:val="24"/>
          <w:szCs w:val="24"/>
        </w:rPr>
        <w:t>Cambios de vida útil</w:t>
      </w:r>
    </w:p>
    <w:p w14:paraId="12870E1E" w14:textId="77777777" w:rsidR="00207FCE" w:rsidRPr="00207FCE" w:rsidRDefault="00207FCE" w:rsidP="00AB4D08">
      <w:pPr>
        <w:spacing w:after="0" w:line="240" w:lineRule="auto"/>
        <w:ind w:left="567"/>
        <w:contextualSpacing/>
        <w:jc w:val="both"/>
        <w:rPr>
          <w:rFonts w:ascii="Times New Roman" w:eastAsia="Arial" w:hAnsi="Times New Roman"/>
          <w:sz w:val="24"/>
          <w:szCs w:val="24"/>
        </w:rPr>
      </w:pPr>
    </w:p>
    <w:p w14:paraId="27F77A77" w14:textId="280AF529" w:rsidR="00207FCE" w:rsidRP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 xml:space="preserve">Dando cumplimiento al manual de políticas contables del </w:t>
      </w:r>
      <w:r>
        <w:rPr>
          <w:rFonts w:ascii="Times New Roman" w:eastAsia="Times New Roman" w:hAnsi="Times New Roman"/>
          <w:sz w:val="24"/>
          <w:szCs w:val="24"/>
          <w:lang w:eastAsia="es-CO"/>
        </w:rPr>
        <w:t xml:space="preserve">Instituto de Desarrollo Urbano – IDU </w:t>
      </w:r>
      <w:r w:rsidRPr="00207FCE">
        <w:rPr>
          <w:rFonts w:ascii="Times New Roman" w:eastAsia="Times New Roman" w:hAnsi="Times New Roman"/>
          <w:sz w:val="24"/>
          <w:szCs w:val="24"/>
          <w:lang w:eastAsia="es-CO"/>
        </w:rPr>
        <w:t xml:space="preserve">y la normatividad vigente, se realiza el respectivo análisis, para determinar si los </w:t>
      </w:r>
      <w:r>
        <w:rPr>
          <w:rFonts w:ascii="Times New Roman" w:eastAsia="Times New Roman" w:hAnsi="Times New Roman"/>
          <w:sz w:val="24"/>
          <w:szCs w:val="24"/>
          <w:lang w:eastAsia="es-CO"/>
        </w:rPr>
        <w:t xml:space="preserve">bienes muebles </w:t>
      </w:r>
      <w:r w:rsidRPr="00207FCE">
        <w:rPr>
          <w:rFonts w:ascii="Times New Roman" w:eastAsia="Times New Roman" w:hAnsi="Times New Roman"/>
          <w:sz w:val="24"/>
          <w:szCs w:val="24"/>
          <w:lang w:eastAsia="es-CO"/>
        </w:rPr>
        <w:t>son susceptibles de modificaciones en la vida útil con corte de la vigencia 2019, para lo cual se evaluaron los siguientes factores:</w:t>
      </w:r>
    </w:p>
    <w:p w14:paraId="1D870ACE" w14:textId="77777777" w:rsidR="00207FCE" w:rsidRDefault="00207FCE" w:rsidP="00AB4D08">
      <w:pPr>
        <w:spacing w:after="0" w:line="240" w:lineRule="auto"/>
        <w:ind w:left="567"/>
        <w:contextualSpacing/>
        <w:jc w:val="both"/>
        <w:rPr>
          <w:rFonts w:ascii="Times New Roman" w:hAnsi="Times New Roman"/>
          <w:sz w:val="24"/>
          <w:szCs w:val="24"/>
        </w:rPr>
      </w:pPr>
    </w:p>
    <w:p w14:paraId="1F7201BB" w14:textId="77777777" w:rsidR="00207FCE" w:rsidRPr="00207FCE" w:rsidRDefault="00207FCE" w:rsidP="00AB4D08">
      <w:pPr>
        <w:pStyle w:val="Prrafodelista"/>
        <w:numPr>
          <w:ilvl w:val="0"/>
          <w:numId w:val="41"/>
        </w:num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lang w:eastAsia="es-CO"/>
        </w:rPr>
      </w:pPr>
      <w:r w:rsidRPr="00207FCE">
        <w:rPr>
          <w:rFonts w:ascii="Times New Roman" w:eastAsia="Arial" w:hAnsi="Times New Roman"/>
          <w:sz w:val="24"/>
          <w:szCs w:val="24"/>
        </w:rPr>
        <w:t>Uso previsto del activo</w:t>
      </w:r>
    </w:p>
    <w:p w14:paraId="3BDE4EFD" w14:textId="73B92372" w:rsidR="00207FCE" w:rsidRPr="00207FCE" w:rsidRDefault="00207FCE" w:rsidP="00AB4D08">
      <w:pPr>
        <w:pStyle w:val="Prrafodelista"/>
        <w:numPr>
          <w:ilvl w:val="0"/>
          <w:numId w:val="41"/>
        </w:num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Desgaste físico esperado del bien, efectuando el estudio de factores operativos.</w:t>
      </w:r>
    </w:p>
    <w:p w14:paraId="5A892476" w14:textId="77777777" w:rsidR="00207FCE" w:rsidRPr="00207FCE" w:rsidRDefault="00207FCE" w:rsidP="00AB4D08">
      <w:pPr>
        <w:numPr>
          <w:ilvl w:val="0"/>
          <w:numId w:val="41"/>
        </w:numPr>
        <w:shd w:val="clear" w:color="auto" w:fill="FFFFFF"/>
        <w:spacing w:after="0" w:line="240" w:lineRule="auto"/>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Programa de reparaciones y mantenimiento.</w:t>
      </w:r>
    </w:p>
    <w:p w14:paraId="5A48B9ED" w14:textId="77777777" w:rsidR="00207FCE" w:rsidRPr="00207FCE" w:rsidRDefault="00207FCE" w:rsidP="00AB4D08">
      <w:pPr>
        <w:numPr>
          <w:ilvl w:val="0"/>
          <w:numId w:val="41"/>
        </w:numPr>
        <w:shd w:val="clear" w:color="auto" w:fill="FFFFFF"/>
        <w:spacing w:after="0" w:line="240" w:lineRule="auto"/>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Adiciones y mejoras realizadas al bien.</w:t>
      </w:r>
    </w:p>
    <w:p w14:paraId="3311AAFD" w14:textId="77777777" w:rsidR="00207FCE" w:rsidRPr="00207FCE" w:rsidRDefault="00207FCE" w:rsidP="00AB4D08">
      <w:pPr>
        <w:numPr>
          <w:ilvl w:val="0"/>
          <w:numId w:val="41"/>
        </w:numPr>
        <w:shd w:val="clear" w:color="auto" w:fill="FFFFFF"/>
        <w:spacing w:after="0" w:line="240" w:lineRule="auto"/>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Obsolescencia técnica o comercial.</w:t>
      </w:r>
    </w:p>
    <w:p w14:paraId="47D98958" w14:textId="33AD2818" w:rsidR="00207FCE" w:rsidRPr="00207FCE" w:rsidRDefault="00207FCE" w:rsidP="00AB4D08">
      <w:pPr>
        <w:numPr>
          <w:ilvl w:val="0"/>
          <w:numId w:val="41"/>
        </w:numPr>
        <w:shd w:val="clear" w:color="auto" w:fill="FFFFFF"/>
        <w:spacing w:after="0" w:line="240" w:lineRule="auto"/>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indicaciones sobre la duración aproximada según el uso</w:t>
      </w:r>
      <w:r>
        <w:rPr>
          <w:rFonts w:ascii="Times New Roman" w:eastAsia="Times New Roman" w:hAnsi="Times New Roman"/>
          <w:sz w:val="24"/>
          <w:szCs w:val="24"/>
          <w:lang w:eastAsia="es-CO"/>
        </w:rPr>
        <w:t>.</w:t>
      </w:r>
    </w:p>
    <w:p w14:paraId="7D7EC686" w14:textId="5351B5C2" w:rsidR="00207FCE" w:rsidRPr="00207FCE" w:rsidRDefault="00207FCE" w:rsidP="00AB4D08">
      <w:pPr>
        <w:numPr>
          <w:ilvl w:val="0"/>
          <w:numId w:val="41"/>
        </w:numPr>
        <w:shd w:val="clear" w:color="auto" w:fill="FFFFFF"/>
        <w:spacing w:after="0" w:line="240" w:lineRule="auto"/>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t>Políticas de renovación tecnoló</w:t>
      </w:r>
      <w:r>
        <w:rPr>
          <w:rFonts w:ascii="Times New Roman" w:eastAsia="Times New Roman" w:hAnsi="Times New Roman"/>
          <w:sz w:val="24"/>
          <w:szCs w:val="24"/>
          <w:lang w:eastAsia="es-CO"/>
        </w:rPr>
        <w:t>gica del IDU</w:t>
      </w:r>
    </w:p>
    <w:p w14:paraId="03930343" w14:textId="77777777"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74FF3E10" w14:textId="04052A94"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r w:rsidRPr="00207FCE">
        <w:rPr>
          <w:rFonts w:ascii="Times New Roman" w:eastAsia="Times New Roman" w:hAnsi="Times New Roman"/>
          <w:sz w:val="24"/>
          <w:szCs w:val="24"/>
          <w:lang w:eastAsia="es-CO"/>
        </w:rPr>
        <w:lastRenderedPageBreak/>
        <w:t>De acuerdo con lo mencionado anteri</w:t>
      </w:r>
      <w:r>
        <w:rPr>
          <w:rFonts w:ascii="Times New Roman" w:eastAsia="Times New Roman" w:hAnsi="Times New Roman"/>
          <w:sz w:val="24"/>
          <w:szCs w:val="24"/>
          <w:lang w:eastAsia="es-CO"/>
        </w:rPr>
        <w:t>ormente y el análisis efectuado, se realizó actualización del saldo de vida útil para algunas placas de bienes muebles</w:t>
      </w:r>
    </w:p>
    <w:p w14:paraId="43A1991F" w14:textId="77777777"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297C062A" w14:textId="59F08848" w:rsidR="00207FCE" w:rsidRDefault="001F7828"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Deterioro</w:t>
      </w:r>
    </w:p>
    <w:p w14:paraId="68387BC1" w14:textId="77777777" w:rsidR="001F7828" w:rsidRDefault="001F7828"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5A127683" w14:textId="455F7F88" w:rsidR="001F7828" w:rsidRPr="002E4A43" w:rsidRDefault="001F7828"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 xml:space="preserve">De acuerdo con </w:t>
      </w:r>
      <w:r>
        <w:rPr>
          <w:rFonts w:ascii="Times New Roman" w:eastAsia="Arial" w:hAnsi="Times New Roman"/>
          <w:sz w:val="24"/>
          <w:szCs w:val="24"/>
        </w:rPr>
        <w:t xml:space="preserve">el Manual de Políticas Contables y la normatividad vigente, donde se establece que </w:t>
      </w:r>
      <w:r w:rsidRPr="002E4A43">
        <w:rPr>
          <w:rFonts w:ascii="Times New Roman" w:eastAsia="Arial" w:hAnsi="Times New Roman"/>
          <w:sz w:val="24"/>
          <w:szCs w:val="24"/>
        </w:rPr>
        <w:t xml:space="preserve">por los menos una vez al año se deben revisar </w:t>
      </w:r>
      <w:r>
        <w:rPr>
          <w:rFonts w:ascii="Times New Roman" w:eastAsia="Arial" w:hAnsi="Times New Roman"/>
          <w:sz w:val="24"/>
          <w:szCs w:val="24"/>
        </w:rPr>
        <w:t xml:space="preserve">los </w:t>
      </w:r>
      <w:r w:rsidRPr="002E4A43">
        <w:rPr>
          <w:rFonts w:ascii="Times New Roman" w:eastAsia="Arial" w:hAnsi="Times New Roman"/>
          <w:sz w:val="24"/>
          <w:szCs w:val="24"/>
        </w:rPr>
        <w:t xml:space="preserve">indicios que permitan identificar si existe deterioro de los bienes </w:t>
      </w:r>
      <w:r>
        <w:rPr>
          <w:rFonts w:ascii="Times New Roman" w:eastAsia="Arial" w:hAnsi="Times New Roman"/>
          <w:sz w:val="24"/>
          <w:szCs w:val="24"/>
        </w:rPr>
        <w:t xml:space="preserve">muebles y </w:t>
      </w:r>
      <w:r w:rsidRPr="002E4A43">
        <w:rPr>
          <w:rFonts w:ascii="Times New Roman" w:eastAsia="Arial" w:hAnsi="Times New Roman"/>
          <w:sz w:val="24"/>
          <w:szCs w:val="24"/>
        </w:rPr>
        <w:t>si como resultado de la revisión se identifican dichos indicios, se procede a comparar el valor en libros frente al valor del servicio recuperable, en caso que el valor en libros supere el valor del servicio recuperable se registra deterioro.</w:t>
      </w:r>
    </w:p>
    <w:p w14:paraId="115972D5" w14:textId="77777777" w:rsidR="001F7828" w:rsidRDefault="001F7828" w:rsidP="00AB4D08">
      <w:pPr>
        <w:spacing w:after="0" w:line="240" w:lineRule="auto"/>
        <w:ind w:left="567"/>
        <w:contextualSpacing/>
        <w:jc w:val="both"/>
        <w:rPr>
          <w:rFonts w:ascii="Times New Roman" w:eastAsia="Arial" w:hAnsi="Times New Roman"/>
          <w:sz w:val="24"/>
          <w:szCs w:val="24"/>
        </w:rPr>
      </w:pPr>
    </w:p>
    <w:p w14:paraId="772A9831"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81D8C8F"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60A60E0F"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5D76338F"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1AA4D430"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406CE3BE"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2C69D39B"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72E7A424"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B90FA2E"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43DA8F5A"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2BA44F7"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2EF48655"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75D2331B"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1BFF96E9"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74D251D"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B9DBDAC"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2D824B46"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7A8E8375"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48562733"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2C2AA792"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7B6B4FEC"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2595936B"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76452717"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55F99889"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635DB149"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1C671E7B"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3B0909CF"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64CA1BB8"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27A9DCD9" w14:textId="77777777" w:rsidR="00DD475B" w:rsidRDefault="00DD475B" w:rsidP="00AB4D08">
      <w:pPr>
        <w:spacing w:after="0" w:line="240" w:lineRule="auto"/>
        <w:ind w:left="567"/>
        <w:contextualSpacing/>
        <w:jc w:val="both"/>
        <w:rPr>
          <w:rFonts w:ascii="Times New Roman" w:eastAsia="Arial" w:hAnsi="Times New Roman"/>
          <w:sz w:val="24"/>
          <w:szCs w:val="24"/>
        </w:rPr>
      </w:pPr>
    </w:p>
    <w:p w14:paraId="3A8A4B1F" w14:textId="77777777" w:rsidR="00DD475B" w:rsidRDefault="00DD475B" w:rsidP="00AB4D08">
      <w:pPr>
        <w:spacing w:after="0" w:line="240" w:lineRule="auto"/>
        <w:ind w:left="567"/>
        <w:contextualSpacing/>
        <w:jc w:val="both"/>
        <w:rPr>
          <w:rFonts w:ascii="Times New Roman" w:eastAsia="Arial" w:hAnsi="Times New Roman"/>
          <w:sz w:val="24"/>
          <w:szCs w:val="24"/>
        </w:rPr>
      </w:pPr>
    </w:p>
    <w:p w14:paraId="389653A9"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7A1450DC" w14:textId="77777777" w:rsidR="005A0602" w:rsidRDefault="005A0602" w:rsidP="00AB4D08">
      <w:pPr>
        <w:spacing w:after="0" w:line="240" w:lineRule="auto"/>
        <w:ind w:left="567"/>
        <w:contextualSpacing/>
        <w:jc w:val="both"/>
        <w:rPr>
          <w:rFonts w:ascii="Times New Roman" w:eastAsia="Arial" w:hAnsi="Times New Roman"/>
          <w:sz w:val="24"/>
          <w:szCs w:val="24"/>
        </w:rPr>
      </w:pPr>
    </w:p>
    <w:p w14:paraId="2F9716CB" w14:textId="21F1EC4F" w:rsidR="001F7828" w:rsidRDefault="001F7828"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lastRenderedPageBreak/>
        <w:t xml:space="preserve">Conforme con el procedimiento anterior el IDU, registró deterioro </w:t>
      </w:r>
      <w:r>
        <w:rPr>
          <w:rFonts w:ascii="Times New Roman" w:eastAsia="Arial" w:hAnsi="Times New Roman"/>
          <w:sz w:val="24"/>
          <w:szCs w:val="24"/>
        </w:rPr>
        <w:t>con corte a la vigencia 2019, de</w:t>
      </w:r>
      <w:r w:rsidRPr="002E4A43">
        <w:rPr>
          <w:rFonts w:ascii="Times New Roman" w:eastAsia="Arial" w:hAnsi="Times New Roman"/>
          <w:sz w:val="24"/>
          <w:szCs w:val="24"/>
        </w:rPr>
        <w:t xml:space="preserve"> los siguientes elementos:</w:t>
      </w:r>
    </w:p>
    <w:p w14:paraId="50763FC4" w14:textId="77777777" w:rsidR="005A0602" w:rsidRPr="002E4A43" w:rsidRDefault="005A0602" w:rsidP="00AB4D08">
      <w:pPr>
        <w:spacing w:after="0" w:line="240" w:lineRule="auto"/>
        <w:ind w:left="567"/>
        <w:contextualSpacing/>
        <w:jc w:val="both"/>
        <w:rPr>
          <w:rFonts w:ascii="Times New Roman" w:eastAsia="Arial" w:hAnsi="Times New Roman"/>
          <w:sz w:val="24"/>
          <w:szCs w:val="24"/>
        </w:rPr>
      </w:pPr>
    </w:p>
    <w:bookmarkStart w:id="49" w:name="_MON_1642608356"/>
    <w:bookmarkEnd w:id="49"/>
    <w:p w14:paraId="1B42F8C2" w14:textId="7DA32760" w:rsidR="001F7828" w:rsidRDefault="005A0602" w:rsidP="00AB4D08">
      <w:pPr>
        <w:shd w:val="clear" w:color="auto" w:fill="FFFFFF"/>
        <w:spacing w:after="0" w:line="240" w:lineRule="auto"/>
        <w:ind w:left="142"/>
        <w:contextualSpacing/>
        <w:jc w:val="both"/>
        <w:rPr>
          <w:rFonts w:ascii="Times New Roman" w:eastAsia="Times New Roman" w:hAnsi="Times New Roman"/>
          <w:sz w:val="24"/>
          <w:szCs w:val="24"/>
          <w:lang w:eastAsia="es-CO"/>
        </w:rPr>
      </w:pPr>
      <w:r>
        <w:rPr>
          <w:rFonts w:ascii="Arial" w:eastAsia="Arial" w:hAnsi="Arial" w:cs="Arial"/>
          <w:sz w:val="24"/>
          <w:szCs w:val="24"/>
        </w:rPr>
        <w:object w:dxaOrig="17347" w:dyaOrig="22386" w14:anchorId="6CE4F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45pt;height:518.25pt" o:ole="">
            <v:imagedata r:id="rId49" o:title=""/>
          </v:shape>
          <o:OLEObject Type="Embed" ProgID="Excel.Sheet.12" ShapeID="_x0000_i1025" DrawAspect="Content" ObjectID="_1643096349" r:id="rId50"/>
        </w:object>
      </w:r>
    </w:p>
    <w:p w14:paraId="06020DAB" w14:textId="77777777"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29FF9483" w14:textId="77777777"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4CF12308" w14:textId="77777777" w:rsidR="00207FCE" w:rsidRDefault="00207FCE" w:rsidP="00AB4D08">
      <w:pPr>
        <w:shd w:val="clear" w:color="auto" w:fill="FFFFFF"/>
        <w:spacing w:after="0" w:line="240" w:lineRule="auto"/>
        <w:ind w:left="567"/>
        <w:contextualSpacing/>
        <w:jc w:val="both"/>
        <w:rPr>
          <w:rFonts w:ascii="Times New Roman" w:eastAsia="Times New Roman" w:hAnsi="Times New Roman"/>
          <w:sz w:val="24"/>
          <w:szCs w:val="24"/>
          <w:lang w:eastAsia="es-CO"/>
        </w:rPr>
      </w:pPr>
    </w:p>
    <w:p w14:paraId="06A4CDD2" w14:textId="70013FFC" w:rsidR="00364B83" w:rsidRPr="00B52057" w:rsidRDefault="00364B83" w:rsidP="00AB4D08">
      <w:pPr>
        <w:pStyle w:val="Ttulo2"/>
        <w:numPr>
          <w:ilvl w:val="1"/>
          <w:numId w:val="27"/>
        </w:numPr>
        <w:spacing w:line="240" w:lineRule="auto"/>
        <w:ind w:left="567" w:hanging="567"/>
        <w:contextualSpacing/>
        <w:rPr>
          <w:rFonts w:cs="Times New Roman"/>
          <w:szCs w:val="24"/>
        </w:rPr>
      </w:pPr>
      <w:bookmarkStart w:id="50" w:name="_Toc32317264"/>
      <w:r w:rsidRPr="00B52057">
        <w:rPr>
          <w:rFonts w:cs="Times New Roman"/>
          <w:szCs w:val="24"/>
        </w:rPr>
        <w:lastRenderedPageBreak/>
        <w:t>Estimaciones</w:t>
      </w:r>
      <w:bookmarkEnd w:id="50"/>
    </w:p>
    <w:p w14:paraId="7B78B146" w14:textId="77777777" w:rsidR="00364B83" w:rsidRPr="00B52057" w:rsidRDefault="00364B83" w:rsidP="00AB4D08">
      <w:pPr>
        <w:spacing w:after="0" w:line="240" w:lineRule="auto"/>
        <w:contextualSpacing/>
        <w:jc w:val="both"/>
        <w:rPr>
          <w:rFonts w:ascii="Times New Roman" w:hAnsi="Times New Roman"/>
          <w:b/>
          <w:sz w:val="24"/>
          <w:szCs w:val="24"/>
        </w:rPr>
      </w:pPr>
    </w:p>
    <w:p w14:paraId="76A5ED92" w14:textId="7ADF5F55" w:rsidR="00E12C9E" w:rsidRPr="00B52057" w:rsidRDefault="00436DC3"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Con corte a la vigencia 2019, se utilizaron las siguientes mediciones relacionadas con la propiedad, planta y equipo del Instituto de Desarrollo Urbano – IDU:</w:t>
      </w:r>
    </w:p>
    <w:p w14:paraId="198BD1E1" w14:textId="23FF68A0" w:rsidR="00040A87" w:rsidRPr="00B52057" w:rsidRDefault="00040A87" w:rsidP="00AB4D08">
      <w:pPr>
        <w:spacing w:after="0" w:line="240" w:lineRule="auto"/>
        <w:ind w:left="567"/>
        <w:contextualSpacing/>
        <w:jc w:val="both"/>
        <w:rPr>
          <w:rFonts w:ascii="Times New Roman" w:hAnsi="Times New Roman"/>
          <w:sz w:val="24"/>
          <w:szCs w:val="24"/>
        </w:rPr>
      </w:pPr>
    </w:p>
    <w:p w14:paraId="57B7011D" w14:textId="2E443F95" w:rsidR="00040A87" w:rsidRPr="00436DC3" w:rsidRDefault="00436DC3" w:rsidP="00AB4D08">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En cumplimiento del Manual de Políticas Contables, en la medición posterior para los activos de propiedad, planta y equipo, se utilizó el método de depreciación de línea recta.</w:t>
      </w:r>
    </w:p>
    <w:p w14:paraId="5B65B7B2" w14:textId="77777777" w:rsidR="00436DC3" w:rsidRPr="00B52057" w:rsidRDefault="00436DC3" w:rsidP="00AB4D08">
      <w:pPr>
        <w:spacing w:after="0" w:line="240" w:lineRule="auto"/>
        <w:ind w:left="567"/>
        <w:contextualSpacing/>
        <w:jc w:val="both"/>
        <w:rPr>
          <w:rFonts w:ascii="Times New Roman" w:hAnsi="Times New Roman"/>
          <w:sz w:val="24"/>
          <w:szCs w:val="24"/>
        </w:rPr>
      </w:pPr>
    </w:p>
    <w:p w14:paraId="7C100479" w14:textId="7786849D" w:rsidR="00436DC3" w:rsidRDefault="00436DC3" w:rsidP="00AB4D08">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En cumplimiento del Manual de Políticas Contables, se utilizaron las siguientes vidas útiles para el grupo de activos de propiedad, planta y equipo:</w:t>
      </w:r>
    </w:p>
    <w:tbl>
      <w:tblPr>
        <w:tblW w:w="8840" w:type="dxa"/>
        <w:tblInd w:w="562" w:type="dxa"/>
        <w:tblCellMar>
          <w:left w:w="70" w:type="dxa"/>
          <w:right w:w="70" w:type="dxa"/>
        </w:tblCellMar>
        <w:tblLook w:val="04A0" w:firstRow="1" w:lastRow="0" w:firstColumn="1" w:lastColumn="0" w:noHBand="0" w:noVBand="1"/>
      </w:tblPr>
      <w:tblGrid>
        <w:gridCol w:w="4820"/>
        <w:gridCol w:w="2551"/>
        <w:gridCol w:w="1469"/>
      </w:tblGrid>
      <w:tr w:rsidR="00436DC3" w:rsidRPr="0031578D" w14:paraId="53D275FF" w14:textId="77777777" w:rsidTr="00436DC3">
        <w:trPr>
          <w:trHeight w:val="291"/>
        </w:trPr>
        <w:tc>
          <w:tcPr>
            <w:tcW w:w="4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F983A0" w14:textId="77777777" w:rsidR="00436DC3" w:rsidRPr="0031578D" w:rsidRDefault="00436DC3"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DESCRIPCIÓN</w:t>
            </w:r>
          </w:p>
        </w:tc>
        <w:tc>
          <w:tcPr>
            <w:tcW w:w="2551" w:type="dxa"/>
            <w:tcBorders>
              <w:top w:val="single" w:sz="4" w:space="0" w:color="auto"/>
              <w:left w:val="nil"/>
              <w:bottom w:val="single" w:sz="4" w:space="0" w:color="auto"/>
              <w:right w:val="single" w:sz="4" w:space="0" w:color="auto"/>
            </w:tcBorders>
            <w:shd w:val="clear" w:color="000000" w:fill="D9D9D9"/>
            <w:vAlign w:val="center"/>
            <w:hideMark/>
          </w:tcPr>
          <w:p w14:paraId="683B9EBD" w14:textId="77777777" w:rsidR="00436DC3" w:rsidRPr="0031578D" w:rsidRDefault="00436DC3"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VIDA UTIL</w:t>
            </w:r>
          </w:p>
        </w:tc>
        <w:tc>
          <w:tcPr>
            <w:tcW w:w="1469" w:type="dxa"/>
            <w:tcBorders>
              <w:top w:val="single" w:sz="4" w:space="0" w:color="auto"/>
              <w:left w:val="nil"/>
              <w:bottom w:val="single" w:sz="4" w:space="0" w:color="auto"/>
              <w:right w:val="single" w:sz="4" w:space="0" w:color="auto"/>
            </w:tcBorders>
            <w:shd w:val="clear" w:color="000000" w:fill="D9D9D9"/>
            <w:vAlign w:val="center"/>
            <w:hideMark/>
          </w:tcPr>
          <w:p w14:paraId="52459E30" w14:textId="77777777" w:rsidR="00436DC3" w:rsidRPr="0031578D" w:rsidRDefault="00436DC3" w:rsidP="00AB4D08">
            <w:pPr>
              <w:spacing w:after="0" w:line="240" w:lineRule="auto"/>
              <w:contextualSpacing/>
              <w:jc w:val="center"/>
              <w:rPr>
                <w:rFonts w:ascii="Times New Roman" w:eastAsia="Times New Roman" w:hAnsi="Times New Roman"/>
                <w:b/>
                <w:bCs/>
                <w:sz w:val="24"/>
                <w:szCs w:val="24"/>
                <w:lang w:eastAsia="es-CO"/>
              </w:rPr>
            </w:pPr>
            <w:r w:rsidRPr="0031578D">
              <w:rPr>
                <w:rFonts w:ascii="Times New Roman" w:eastAsia="Times New Roman" w:hAnsi="Times New Roman"/>
                <w:b/>
                <w:bCs/>
                <w:sz w:val="24"/>
                <w:szCs w:val="24"/>
                <w:lang w:eastAsia="es-CO"/>
              </w:rPr>
              <w:t>VALOR RESIDUAL</w:t>
            </w:r>
          </w:p>
        </w:tc>
      </w:tr>
      <w:tr w:rsidR="00436DC3" w:rsidRPr="0031578D" w14:paraId="50AB5AE9"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059A51"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Edificaciones</w:t>
            </w:r>
          </w:p>
        </w:tc>
        <w:tc>
          <w:tcPr>
            <w:tcW w:w="2551" w:type="dxa"/>
            <w:tcBorders>
              <w:top w:val="nil"/>
              <w:left w:val="nil"/>
              <w:bottom w:val="single" w:sz="4" w:space="0" w:color="auto"/>
              <w:right w:val="single" w:sz="4" w:space="0" w:color="auto"/>
            </w:tcBorders>
            <w:shd w:val="clear" w:color="auto" w:fill="auto"/>
            <w:vAlign w:val="center"/>
            <w:hideMark/>
          </w:tcPr>
          <w:p w14:paraId="0DFDF7BC"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50 y 100 años</w:t>
            </w:r>
          </w:p>
        </w:tc>
        <w:tc>
          <w:tcPr>
            <w:tcW w:w="1469" w:type="dxa"/>
            <w:tcBorders>
              <w:top w:val="nil"/>
              <w:left w:val="nil"/>
              <w:bottom w:val="single" w:sz="4" w:space="0" w:color="auto"/>
              <w:right w:val="single" w:sz="4" w:space="0" w:color="auto"/>
            </w:tcBorders>
            <w:shd w:val="clear" w:color="auto" w:fill="auto"/>
            <w:vAlign w:val="center"/>
            <w:hideMark/>
          </w:tcPr>
          <w:p w14:paraId="6315A6C2"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2E837757"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8CB6ED7"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Redes, líneas y cables</w:t>
            </w:r>
          </w:p>
        </w:tc>
        <w:tc>
          <w:tcPr>
            <w:tcW w:w="2551" w:type="dxa"/>
            <w:tcBorders>
              <w:top w:val="nil"/>
              <w:left w:val="nil"/>
              <w:bottom w:val="single" w:sz="4" w:space="0" w:color="auto"/>
              <w:right w:val="single" w:sz="4" w:space="0" w:color="auto"/>
            </w:tcBorders>
            <w:shd w:val="clear" w:color="auto" w:fill="auto"/>
            <w:vAlign w:val="center"/>
            <w:hideMark/>
          </w:tcPr>
          <w:p w14:paraId="0F6811EA"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25 y 30 años</w:t>
            </w:r>
          </w:p>
        </w:tc>
        <w:tc>
          <w:tcPr>
            <w:tcW w:w="1469" w:type="dxa"/>
            <w:tcBorders>
              <w:top w:val="nil"/>
              <w:left w:val="nil"/>
              <w:bottom w:val="single" w:sz="4" w:space="0" w:color="auto"/>
              <w:right w:val="single" w:sz="4" w:space="0" w:color="auto"/>
            </w:tcBorders>
            <w:shd w:val="clear" w:color="auto" w:fill="auto"/>
            <w:vAlign w:val="center"/>
            <w:hideMark/>
          </w:tcPr>
          <w:p w14:paraId="2683EF63"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1DF2436C"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4861E4C"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Maquinaria y Equipo</w:t>
            </w:r>
          </w:p>
        </w:tc>
        <w:tc>
          <w:tcPr>
            <w:tcW w:w="2551" w:type="dxa"/>
            <w:tcBorders>
              <w:top w:val="nil"/>
              <w:left w:val="nil"/>
              <w:bottom w:val="single" w:sz="4" w:space="0" w:color="auto"/>
              <w:right w:val="single" w:sz="4" w:space="0" w:color="auto"/>
            </w:tcBorders>
            <w:shd w:val="clear" w:color="auto" w:fill="auto"/>
            <w:vAlign w:val="center"/>
            <w:hideMark/>
          </w:tcPr>
          <w:p w14:paraId="28450D59"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15 y 20 años</w:t>
            </w:r>
          </w:p>
        </w:tc>
        <w:tc>
          <w:tcPr>
            <w:tcW w:w="1469" w:type="dxa"/>
            <w:tcBorders>
              <w:top w:val="nil"/>
              <w:left w:val="nil"/>
              <w:bottom w:val="single" w:sz="4" w:space="0" w:color="auto"/>
              <w:right w:val="single" w:sz="4" w:space="0" w:color="auto"/>
            </w:tcBorders>
            <w:shd w:val="clear" w:color="auto" w:fill="auto"/>
            <w:vAlign w:val="center"/>
            <w:hideMark/>
          </w:tcPr>
          <w:p w14:paraId="7C1DCA99"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07D4E110"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211592D"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médico y científico</w:t>
            </w:r>
          </w:p>
        </w:tc>
        <w:tc>
          <w:tcPr>
            <w:tcW w:w="2551" w:type="dxa"/>
            <w:tcBorders>
              <w:top w:val="nil"/>
              <w:left w:val="nil"/>
              <w:bottom w:val="single" w:sz="4" w:space="0" w:color="auto"/>
              <w:right w:val="single" w:sz="4" w:space="0" w:color="auto"/>
            </w:tcBorders>
            <w:shd w:val="clear" w:color="auto" w:fill="auto"/>
            <w:vAlign w:val="center"/>
            <w:hideMark/>
          </w:tcPr>
          <w:p w14:paraId="1E971679"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469" w:type="dxa"/>
            <w:tcBorders>
              <w:top w:val="nil"/>
              <w:left w:val="nil"/>
              <w:bottom w:val="single" w:sz="4" w:space="0" w:color="auto"/>
              <w:right w:val="single" w:sz="4" w:space="0" w:color="auto"/>
            </w:tcBorders>
            <w:shd w:val="clear" w:color="auto" w:fill="auto"/>
            <w:vAlign w:val="center"/>
            <w:hideMark/>
          </w:tcPr>
          <w:p w14:paraId="2545F501"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3DAD4CDA"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CCAD10C"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Muebles, enseres y equipo de oficina</w:t>
            </w:r>
          </w:p>
        </w:tc>
        <w:tc>
          <w:tcPr>
            <w:tcW w:w="2551" w:type="dxa"/>
            <w:tcBorders>
              <w:top w:val="nil"/>
              <w:left w:val="nil"/>
              <w:bottom w:val="single" w:sz="4" w:space="0" w:color="auto"/>
              <w:right w:val="single" w:sz="4" w:space="0" w:color="auto"/>
            </w:tcBorders>
            <w:shd w:val="clear" w:color="auto" w:fill="auto"/>
            <w:vAlign w:val="center"/>
            <w:hideMark/>
          </w:tcPr>
          <w:p w14:paraId="5BC26F9B"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469" w:type="dxa"/>
            <w:tcBorders>
              <w:top w:val="nil"/>
              <w:left w:val="nil"/>
              <w:bottom w:val="single" w:sz="4" w:space="0" w:color="auto"/>
              <w:right w:val="single" w:sz="4" w:space="0" w:color="auto"/>
            </w:tcBorders>
            <w:shd w:val="clear" w:color="auto" w:fill="auto"/>
            <w:vAlign w:val="center"/>
            <w:hideMark/>
          </w:tcPr>
          <w:p w14:paraId="4D407AA1"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776B4EDB"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6A2348"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transporte, tracción y elevación</w:t>
            </w:r>
          </w:p>
        </w:tc>
        <w:tc>
          <w:tcPr>
            <w:tcW w:w="2551" w:type="dxa"/>
            <w:tcBorders>
              <w:top w:val="nil"/>
              <w:left w:val="nil"/>
              <w:bottom w:val="single" w:sz="4" w:space="0" w:color="auto"/>
              <w:right w:val="single" w:sz="4" w:space="0" w:color="auto"/>
            </w:tcBorders>
            <w:shd w:val="clear" w:color="auto" w:fill="auto"/>
            <w:vAlign w:val="center"/>
            <w:hideMark/>
          </w:tcPr>
          <w:p w14:paraId="4ED86410"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469" w:type="dxa"/>
            <w:tcBorders>
              <w:top w:val="nil"/>
              <w:left w:val="nil"/>
              <w:bottom w:val="single" w:sz="4" w:space="0" w:color="auto"/>
              <w:right w:val="single" w:sz="4" w:space="0" w:color="auto"/>
            </w:tcBorders>
            <w:shd w:val="clear" w:color="auto" w:fill="auto"/>
            <w:vAlign w:val="center"/>
            <w:hideMark/>
          </w:tcPr>
          <w:p w14:paraId="5E838AA9"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3E7357BA"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ABD231D"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comedor, cocina despensa y hotelería</w:t>
            </w:r>
          </w:p>
        </w:tc>
        <w:tc>
          <w:tcPr>
            <w:tcW w:w="2551" w:type="dxa"/>
            <w:tcBorders>
              <w:top w:val="nil"/>
              <w:left w:val="nil"/>
              <w:bottom w:val="single" w:sz="4" w:space="0" w:color="auto"/>
              <w:right w:val="single" w:sz="4" w:space="0" w:color="auto"/>
            </w:tcBorders>
            <w:shd w:val="clear" w:color="auto" w:fill="auto"/>
            <w:vAlign w:val="center"/>
            <w:hideMark/>
          </w:tcPr>
          <w:p w14:paraId="74F8FD9A"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469" w:type="dxa"/>
            <w:tcBorders>
              <w:top w:val="nil"/>
              <w:left w:val="nil"/>
              <w:bottom w:val="single" w:sz="4" w:space="0" w:color="auto"/>
              <w:right w:val="single" w:sz="4" w:space="0" w:color="auto"/>
            </w:tcBorders>
            <w:shd w:val="clear" w:color="auto" w:fill="auto"/>
            <w:vAlign w:val="center"/>
            <w:hideMark/>
          </w:tcPr>
          <w:p w14:paraId="0F25F6A2"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64827C52"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9F96138"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Equipos de comunicación</w:t>
            </w:r>
          </w:p>
        </w:tc>
        <w:tc>
          <w:tcPr>
            <w:tcW w:w="2551" w:type="dxa"/>
            <w:tcBorders>
              <w:top w:val="nil"/>
              <w:left w:val="nil"/>
              <w:bottom w:val="single" w:sz="4" w:space="0" w:color="auto"/>
              <w:right w:val="single" w:sz="4" w:space="0" w:color="auto"/>
            </w:tcBorders>
            <w:shd w:val="clear" w:color="auto" w:fill="auto"/>
            <w:vAlign w:val="center"/>
            <w:hideMark/>
          </w:tcPr>
          <w:p w14:paraId="1F139BB4"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10 y 15 años</w:t>
            </w:r>
          </w:p>
        </w:tc>
        <w:tc>
          <w:tcPr>
            <w:tcW w:w="1469" w:type="dxa"/>
            <w:tcBorders>
              <w:top w:val="nil"/>
              <w:left w:val="nil"/>
              <w:bottom w:val="single" w:sz="4" w:space="0" w:color="auto"/>
              <w:right w:val="single" w:sz="4" w:space="0" w:color="auto"/>
            </w:tcBorders>
            <w:shd w:val="clear" w:color="auto" w:fill="auto"/>
            <w:vAlign w:val="center"/>
            <w:hideMark/>
          </w:tcPr>
          <w:p w14:paraId="4E49139E"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r w:rsidR="00436DC3" w:rsidRPr="0031578D" w14:paraId="256BE2D1" w14:textId="77777777" w:rsidTr="00436DC3">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CE85384" w14:textId="77777777" w:rsidR="00436DC3" w:rsidRPr="0031578D" w:rsidRDefault="00436DC3" w:rsidP="00AB4D08">
            <w:pPr>
              <w:spacing w:after="0" w:line="240" w:lineRule="auto"/>
              <w:contextualSpacing/>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Equipo de computación</w:t>
            </w:r>
          </w:p>
        </w:tc>
        <w:tc>
          <w:tcPr>
            <w:tcW w:w="2551" w:type="dxa"/>
            <w:tcBorders>
              <w:top w:val="nil"/>
              <w:left w:val="nil"/>
              <w:bottom w:val="single" w:sz="4" w:space="0" w:color="auto"/>
              <w:right w:val="single" w:sz="4" w:space="0" w:color="auto"/>
            </w:tcBorders>
            <w:shd w:val="clear" w:color="auto" w:fill="auto"/>
            <w:vAlign w:val="center"/>
            <w:hideMark/>
          </w:tcPr>
          <w:p w14:paraId="77D8E736" w14:textId="77777777" w:rsidR="00436DC3" w:rsidRPr="0031578D" w:rsidRDefault="00436DC3" w:rsidP="00AB4D08">
            <w:pPr>
              <w:spacing w:after="0" w:line="240" w:lineRule="auto"/>
              <w:contextualSpacing/>
              <w:jc w:val="center"/>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Entre 5 y 10 años</w:t>
            </w:r>
          </w:p>
        </w:tc>
        <w:tc>
          <w:tcPr>
            <w:tcW w:w="1469" w:type="dxa"/>
            <w:tcBorders>
              <w:top w:val="nil"/>
              <w:left w:val="nil"/>
              <w:bottom w:val="single" w:sz="4" w:space="0" w:color="auto"/>
              <w:right w:val="single" w:sz="4" w:space="0" w:color="auto"/>
            </w:tcBorders>
            <w:shd w:val="clear" w:color="auto" w:fill="auto"/>
            <w:vAlign w:val="center"/>
            <w:hideMark/>
          </w:tcPr>
          <w:p w14:paraId="572AF0FC" w14:textId="77777777" w:rsidR="00436DC3" w:rsidRPr="0031578D" w:rsidRDefault="00436DC3" w:rsidP="00AB4D08">
            <w:pPr>
              <w:spacing w:after="0" w:line="240" w:lineRule="auto"/>
              <w:contextualSpacing/>
              <w:jc w:val="right"/>
              <w:rPr>
                <w:rFonts w:ascii="Times New Roman" w:eastAsia="Times New Roman" w:hAnsi="Times New Roman"/>
                <w:color w:val="000000"/>
                <w:sz w:val="24"/>
                <w:szCs w:val="24"/>
                <w:lang w:eastAsia="es-CO"/>
              </w:rPr>
            </w:pPr>
            <w:r w:rsidRPr="0031578D">
              <w:rPr>
                <w:rFonts w:ascii="Times New Roman" w:eastAsia="Times New Roman" w:hAnsi="Times New Roman"/>
                <w:color w:val="000000"/>
                <w:sz w:val="24"/>
                <w:szCs w:val="24"/>
                <w:lang w:eastAsia="es-CO"/>
              </w:rPr>
              <w:t>0</w:t>
            </w:r>
          </w:p>
        </w:tc>
      </w:tr>
    </w:tbl>
    <w:p w14:paraId="17B1ED01" w14:textId="77777777" w:rsidR="00436DC3" w:rsidRDefault="00436DC3" w:rsidP="00AB4D08">
      <w:pPr>
        <w:pStyle w:val="Prrafodelista"/>
        <w:spacing w:after="0" w:line="240" w:lineRule="auto"/>
        <w:ind w:left="1440"/>
        <w:jc w:val="both"/>
        <w:rPr>
          <w:rFonts w:ascii="Times New Roman" w:hAnsi="Times New Roman"/>
          <w:sz w:val="24"/>
          <w:szCs w:val="24"/>
        </w:rPr>
      </w:pPr>
    </w:p>
    <w:p w14:paraId="3641B269" w14:textId="01C889BC" w:rsidR="00040A87" w:rsidRPr="00436DC3" w:rsidRDefault="00436DC3" w:rsidP="00AB4D08">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Una vez realizado el análisis de vidas útiles del grupo de activos de propiedad, planta y equipo, se realizan algunos ajustes.</w:t>
      </w:r>
    </w:p>
    <w:p w14:paraId="4DDA0A2F" w14:textId="5D9BC565" w:rsidR="00040A87" w:rsidRPr="00B52057" w:rsidRDefault="00040A87" w:rsidP="00AB4D08">
      <w:pPr>
        <w:spacing w:after="0" w:line="240" w:lineRule="auto"/>
        <w:ind w:left="567"/>
        <w:contextualSpacing/>
        <w:jc w:val="both"/>
        <w:rPr>
          <w:rFonts w:ascii="Times New Roman" w:hAnsi="Times New Roman"/>
          <w:sz w:val="24"/>
          <w:szCs w:val="24"/>
        </w:rPr>
      </w:pPr>
    </w:p>
    <w:p w14:paraId="3C30ED73" w14:textId="4C8B1E29" w:rsidR="0073200F" w:rsidRDefault="0044598A" w:rsidP="00AB4D08">
      <w:pPr>
        <w:spacing w:after="0" w:line="240" w:lineRule="auto"/>
        <w:ind w:left="708"/>
        <w:contextualSpacing/>
        <w:jc w:val="both"/>
        <w:rPr>
          <w:rFonts w:ascii="Times New Roman" w:hAnsi="Times New Roman"/>
          <w:sz w:val="24"/>
          <w:szCs w:val="24"/>
        </w:rPr>
      </w:pPr>
      <w:r w:rsidRPr="0044598A">
        <w:rPr>
          <w:noProof/>
          <w:lang w:eastAsia="es-CO"/>
        </w:rPr>
        <w:drawing>
          <wp:inline distT="0" distB="0" distL="0" distR="0" wp14:anchorId="68258D00" wp14:editId="584E5231">
            <wp:extent cx="3829050" cy="3000583"/>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0375" cy="3001621"/>
                    </a:xfrm>
                    <a:prstGeom prst="rect">
                      <a:avLst/>
                    </a:prstGeom>
                    <a:noFill/>
                    <a:ln>
                      <a:noFill/>
                    </a:ln>
                  </pic:spPr>
                </pic:pic>
              </a:graphicData>
            </a:graphic>
          </wp:inline>
        </w:drawing>
      </w:r>
    </w:p>
    <w:p w14:paraId="6670B961" w14:textId="77777777" w:rsidR="00DD475B" w:rsidRDefault="00DD475B" w:rsidP="00AB4D08">
      <w:pPr>
        <w:spacing w:after="0" w:line="240" w:lineRule="auto"/>
        <w:ind w:left="708"/>
        <w:contextualSpacing/>
        <w:jc w:val="both"/>
        <w:rPr>
          <w:rFonts w:ascii="Times New Roman" w:hAnsi="Times New Roman"/>
          <w:sz w:val="24"/>
          <w:szCs w:val="24"/>
        </w:rPr>
      </w:pPr>
    </w:p>
    <w:p w14:paraId="5697F2F9" w14:textId="77777777" w:rsidR="004165E7" w:rsidRPr="00AA3069" w:rsidRDefault="00F73D04" w:rsidP="00AB4D08">
      <w:pPr>
        <w:pStyle w:val="Ttulo1"/>
        <w:contextualSpacing/>
        <w:rPr>
          <w:rFonts w:cs="Times New Roman"/>
          <w:sz w:val="24"/>
          <w:szCs w:val="24"/>
        </w:rPr>
      </w:pPr>
      <w:bookmarkStart w:id="51" w:name="_Toc32317265"/>
      <w:r w:rsidRPr="00AA3069">
        <w:rPr>
          <w:rFonts w:cs="Times New Roman"/>
          <w:sz w:val="24"/>
          <w:szCs w:val="24"/>
        </w:rPr>
        <w:lastRenderedPageBreak/>
        <w:t xml:space="preserve">NOTA 11. </w:t>
      </w:r>
      <w:r w:rsidR="009D374E" w:rsidRPr="00AA3069">
        <w:rPr>
          <w:rFonts w:cs="Times New Roman"/>
          <w:sz w:val="24"/>
          <w:szCs w:val="24"/>
        </w:rPr>
        <w:t>BIENES DE USO PÚBLICO</w:t>
      </w:r>
      <w:r w:rsidR="009673B7" w:rsidRPr="00AA3069">
        <w:rPr>
          <w:rFonts w:cs="Times New Roman"/>
          <w:sz w:val="24"/>
          <w:szCs w:val="24"/>
        </w:rPr>
        <w:t xml:space="preserve"> E HISTÓRICOS Y CULTURALES</w:t>
      </w:r>
      <w:bookmarkEnd w:id="51"/>
    </w:p>
    <w:p w14:paraId="1E511AE4" w14:textId="77777777" w:rsidR="00EE223A" w:rsidRPr="00AA3069" w:rsidRDefault="00EE223A" w:rsidP="00AB4D08">
      <w:pPr>
        <w:spacing w:after="0" w:line="240" w:lineRule="auto"/>
        <w:contextualSpacing/>
        <w:jc w:val="both"/>
        <w:rPr>
          <w:rFonts w:ascii="Times New Roman" w:hAnsi="Times New Roman"/>
          <w:b/>
          <w:sz w:val="24"/>
          <w:szCs w:val="24"/>
        </w:rPr>
      </w:pPr>
    </w:p>
    <w:p w14:paraId="28816DE7" w14:textId="77777777" w:rsidR="00EE223A" w:rsidRPr="00AA3069" w:rsidRDefault="00EE223A" w:rsidP="00AB4D08">
      <w:pPr>
        <w:pStyle w:val="Ttulo2"/>
        <w:numPr>
          <w:ilvl w:val="0"/>
          <w:numId w:val="0"/>
        </w:numPr>
        <w:spacing w:line="240" w:lineRule="auto"/>
        <w:contextualSpacing/>
        <w:rPr>
          <w:rFonts w:cs="Times New Roman"/>
          <w:szCs w:val="24"/>
        </w:rPr>
      </w:pPr>
      <w:bookmarkStart w:id="52" w:name="_Toc32317266"/>
      <w:r w:rsidRPr="00AA3069">
        <w:rPr>
          <w:rFonts w:cs="Times New Roman"/>
          <w:szCs w:val="24"/>
        </w:rPr>
        <w:t>Composición</w:t>
      </w:r>
      <w:bookmarkEnd w:id="52"/>
    </w:p>
    <w:p w14:paraId="0861FEEE" w14:textId="77777777" w:rsidR="00EE223A" w:rsidRDefault="00EE223A" w:rsidP="00AB4D08">
      <w:pPr>
        <w:spacing w:after="0" w:line="240" w:lineRule="auto"/>
        <w:contextualSpacing/>
        <w:jc w:val="both"/>
        <w:rPr>
          <w:rFonts w:ascii="Times New Roman" w:hAnsi="Times New Roman"/>
          <w:b/>
          <w:sz w:val="24"/>
          <w:szCs w:val="24"/>
        </w:rPr>
      </w:pPr>
    </w:p>
    <w:p w14:paraId="79FDFC4E" w14:textId="77777777" w:rsidR="00AA3069" w:rsidRPr="002E4A43" w:rsidRDefault="00AA3069"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Los bienes de uso público están conformados por el costo de las obras civiles de las vías, puentes peatonales y vehiculares, tanto en construcción como los que han sido puestos al servicio de la comunidad.</w:t>
      </w:r>
    </w:p>
    <w:p w14:paraId="1FC52444" w14:textId="77777777" w:rsidR="00AA3069" w:rsidRPr="002E4A43" w:rsidRDefault="00AA3069" w:rsidP="00AB4D08">
      <w:pPr>
        <w:spacing w:after="0" w:line="240" w:lineRule="auto"/>
        <w:ind w:left="567"/>
        <w:contextualSpacing/>
        <w:jc w:val="both"/>
        <w:rPr>
          <w:rFonts w:ascii="Times New Roman" w:eastAsia="Arial" w:hAnsi="Times New Roman"/>
          <w:sz w:val="24"/>
          <w:szCs w:val="24"/>
        </w:rPr>
      </w:pPr>
    </w:p>
    <w:p w14:paraId="690CF5C7" w14:textId="77777777" w:rsidR="00AA3069" w:rsidRPr="002E4A43" w:rsidRDefault="00AA3069"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El registro del costo se realiza discriminando cada una de las fases de estos proyectos como estudios y diseños, adquisición de predios, construcción, mantenimiento, rehabilitación y el costo de la interventoría de cada uno de los conceptos antes mencionados.</w:t>
      </w:r>
    </w:p>
    <w:p w14:paraId="313DD286" w14:textId="77777777" w:rsidR="00AA3069" w:rsidRPr="002E4A43" w:rsidRDefault="00AA3069" w:rsidP="00AB4D08">
      <w:pPr>
        <w:spacing w:after="0" w:line="240" w:lineRule="auto"/>
        <w:ind w:left="567"/>
        <w:contextualSpacing/>
        <w:jc w:val="both"/>
        <w:rPr>
          <w:rFonts w:ascii="Times New Roman" w:eastAsia="Arial" w:hAnsi="Times New Roman"/>
          <w:sz w:val="24"/>
          <w:szCs w:val="24"/>
        </w:rPr>
      </w:pPr>
    </w:p>
    <w:p w14:paraId="2BC2227E" w14:textId="1058C37E" w:rsidR="00AA3069" w:rsidRPr="002E4A43" w:rsidRDefault="00AA3069"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A continuación se presenta el detalle de los bienes de uso público con corte a diciembre 31 de</w:t>
      </w:r>
      <w:r>
        <w:rPr>
          <w:rFonts w:ascii="Times New Roman" w:eastAsia="Arial" w:hAnsi="Times New Roman"/>
          <w:sz w:val="24"/>
          <w:szCs w:val="24"/>
        </w:rPr>
        <w:t xml:space="preserve"> 2019</w:t>
      </w:r>
      <w:r w:rsidRPr="002E4A43">
        <w:rPr>
          <w:rFonts w:ascii="Times New Roman" w:eastAsia="Arial" w:hAnsi="Times New Roman"/>
          <w:sz w:val="24"/>
          <w:szCs w:val="24"/>
        </w:rPr>
        <w:t>:</w:t>
      </w:r>
    </w:p>
    <w:p w14:paraId="17F9C1CF" w14:textId="6EEA1C20" w:rsidR="00AA3069" w:rsidRDefault="00AA3069" w:rsidP="00AB4D08">
      <w:pPr>
        <w:spacing w:after="0" w:line="240" w:lineRule="auto"/>
        <w:contextualSpacing/>
        <w:jc w:val="both"/>
        <w:rPr>
          <w:rFonts w:ascii="Times New Roman" w:hAnsi="Times New Roman"/>
          <w:b/>
          <w:sz w:val="24"/>
          <w:szCs w:val="24"/>
        </w:rPr>
      </w:pPr>
    </w:p>
    <w:p w14:paraId="638CDC44" w14:textId="5A8F152C" w:rsidR="00AA3069" w:rsidRDefault="00AA3069" w:rsidP="00AB4D08">
      <w:pPr>
        <w:spacing w:after="0" w:line="240" w:lineRule="auto"/>
        <w:contextualSpacing/>
        <w:jc w:val="both"/>
        <w:rPr>
          <w:rFonts w:ascii="Times New Roman" w:hAnsi="Times New Roman"/>
          <w:b/>
          <w:sz w:val="24"/>
          <w:szCs w:val="24"/>
        </w:rPr>
      </w:pPr>
      <w:r w:rsidRPr="00AA3069">
        <w:rPr>
          <w:noProof/>
          <w:lang w:eastAsia="es-CO"/>
        </w:rPr>
        <w:drawing>
          <wp:inline distT="0" distB="0" distL="0" distR="0" wp14:anchorId="64C82D37" wp14:editId="19906F4C">
            <wp:extent cx="5791835" cy="1258536"/>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835" cy="1258536"/>
                    </a:xfrm>
                    <a:prstGeom prst="rect">
                      <a:avLst/>
                    </a:prstGeom>
                    <a:noFill/>
                    <a:ln>
                      <a:noFill/>
                    </a:ln>
                  </pic:spPr>
                </pic:pic>
              </a:graphicData>
            </a:graphic>
          </wp:inline>
        </w:drawing>
      </w:r>
    </w:p>
    <w:p w14:paraId="6F23BCB8" w14:textId="77777777" w:rsidR="00AA3069" w:rsidRDefault="00AA3069" w:rsidP="00AB4D08">
      <w:pPr>
        <w:spacing w:after="0" w:line="240" w:lineRule="auto"/>
        <w:contextualSpacing/>
        <w:jc w:val="both"/>
        <w:rPr>
          <w:rFonts w:ascii="Times New Roman" w:hAnsi="Times New Roman"/>
          <w:b/>
          <w:sz w:val="24"/>
          <w:szCs w:val="24"/>
        </w:rPr>
      </w:pPr>
    </w:p>
    <w:p w14:paraId="490BC246" w14:textId="4DF7447D" w:rsidR="00AA3069" w:rsidRDefault="002109A6" w:rsidP="00AB4D08">
      <w:pPr>
        <w:spacing w:after="0" w:line="240" w:lineRule="auto"/>
        <w:ind w:left="567"/>
        <w:contextualSpacing/>
        <w:jc w:val="both"/>
        <w:rPr>
          <w:rFonts w:ascii="Times New Roman" w:hAnsi="Times New Roman"/>
          <w:b/>
          <w:sz w:val="24"/>
          <w:szCs w:val="24"/>
        </w:rPr>
      </w:pPr>
      <w:r w:rsidRPr="00E025D2">
        <w:rPr>
          <w:rFonts w:ascii="Times New Roman" w:eastAsia="Arial" w:hAnsi="Times New Roman"/>
          <w:sz w:val="24"/>
          <w:szCs w:val="24"/>
        </w:rPr>
        <w:t>El incremento presentado por valor de $976.908.179.712 obedece principalmente a las adquisiciones de predios y registro de costos de contratos en ejecución por valor de $804.090.192.199, incorporación de bienes recibidos de entes públicos distritales por valor de $366.592.469.334 así como la disminución por el traslado a otra entidad de bienes por valor de $18.973.327.500,  traslado a otros grupos de activos por valor de $23.122.518.92</w:t>
      </w:r>
      <w:r>
        <w:rPr>
          <w:rFonts w:ascii="Times New Roman" w:eastAsia="Arial" w:hAnsi="Times New Roman"/>
          <w:sz w:val="24"/>
          <w:szCs w:val="24"/>
        </w:rPr>
        <w:t>1</w:t>
      </w:r>
      <w:r w:rsidRPr="00E025D2">
        <w:rPr>
          <w:rFonts w:ascii="Times New Roman" w:eastAsia="Arial" w:hAnsi="Times New Roman"/>
          <w:sz w:val="24"/>
          <w:szCs w:val="24"/>
        </w:rPr>
        <w:t>, así como la depreciación registrada durante la vigencia por valor de $151.678.635.400</w:t>
      </w:r>
      <w:r>
        <w:rPr>
          <w:rFonts w:ascii="Times New Roman" w:eastAsia="Arial" w:hAnsi="Times New Roman"/>
          <w:sz w:val="24"/>
          <w:szCs w:val="24"/>
        </w:rPr>
        <w:t>.</w:t>
      </w:r>
    </w:p>
    <w:p w14:paraId="6C5C12DC" w14:textId="77777777" w:rsidR="00AA3069" w:rsidRDefault="00AA3069" w:rsidP="00AB4D08">
      <w:pPr>
        <w:spacing w:after="0" w:line="240" w:lineRule="auto"/>
        <w:ind w:left="567"/>
        <w:contextualSpacing/>
        <w:jc w:val="both"/>
        <w:rPr>
          <w:rFonts w:ascii="Times New Roman" w:hAnsi="Times New Roman"/>
          <w:b/>
          <w:sz w:val="24"/>
          <w:szCs w:val="24"/>
        </w:rPr>
      </w:pPr>
    </w:p>
    <w:p w14:paraId="41D1F3E4" w14:textId="0C2DF923" w:rsidR="007F1885" w:rsidRPr="00AA3069" w:rsidRDefault="007F1885" w:rsidP="00AB4D08">
      <w:pPr>
        <w:pStyle w:val="Ttulo2"/>
        <w:numPr>
          <w:ilvl w:val="1"/>
          <w:numId w:val="28"/>
        </w:numPr>
        <w:spacing w:line="240" w:lineRule="auto"/>
        <w:ind w:left="567" w:firstLine="0"/>
        <w:contextualSpacing/>
        <w:rPr>
          <w:rFonts w:cs="Times New Roman"/>
          <w:szCs w:val="24"/>
        </w:rPr>
      </w:pPr>
      <w:bookmarkStart w:id="53" w:name="_Toc32317267"/>
      <w:r w:rsidRPr="00AA3069">
        <w:rPr>
          <w:rFonts w:cs="Times New Roman"/>
          <w:szCs w:val="24"/>
        </w:rPr>
        <w:t xml:space="preserve">Bienes de uso público </w:t>
      </w:r>
      <w:r>
        <w:rPr>
          <w:rFonts w:cs="Times New Roman"/>
          <w:szCs w:val="24"/>
        </w:rPr>
        <w:t>de Transmilenio</w:t>
      </w:r>
      <w:bookmarkEnd w:id="53"/>
    </w:p>
    <w:p w14:paraId="2E865B1B" w14:textId="77777777" w:rsidR="007F1885" w:rsidRDefault="007F1885" w:rsidP="00AB4D08">
      <w:pPr>
        <w:spacing w:after="0" w:line="240" w:lineRule="auto"/>
        <w:ind w:left="567"/>
        <w:contextualSpacing/>
        <w:jc w:val="both"/>
        <w:rPr>
          <w:rFonts w:ascii="Times New Roman" w:hAnsi="Times New Roman"/>
          <w:sz w:val="24"/>
          <w:szCs w:val="24"/>
        </w:rPr>
      </w:pPr>
    </w:p>
    <w:p w14:paraId="6BC2AC82" w14:textId="66D33F8C" w:rsidR="003D2A12" w:rsidRDefault="003D2A12" w:rsidP="00AB4D08">
      <w:pPr>
        <w:spacing w:line="240" w:lineRule="auto"/>
        <w:ind w:left="567"/>
        <w:contextualSpacing/>
        <w:jc w:val="both"/>
        <w:rPr>
          <w:rFonts w:ascii="Times New Roman" w:hAnsi="Times New Roman"/>
          <w:spacing w:val="-3"/>
          <w:sz w:val="24"/>
          <w:szCs w:val="24"/>
        </w:rPr>
      </w:pPr>
      <w:r w:rsidRPr="00904F69">
        <w:rPr>
          <w:rFonts w:ascii="Times New Roman" w:hAnsi="Times New Roman"/>
          <w:spacing w:val="-3"/>
          <w:sz w:val="24"/>
          <w:szCs w:val="24"/>
        </w:rPr>
        <w:t xml:space="preserve">En virtud de la Circular </w:t>
      </w:r>
      <w:proofErr w:type="spellStart"/>
      <w:r w:rsidRPr="00904F69">
        <w:rPr>
          <w:rFonts w:ascii="Times New Roman" w:hAnsi="Times New Roman"/>
          <w:spacing w:val="-3"/>
          <w:sz w:val="24"/>
          <w:szCs w:val="24"/>
        </w:rPr>
        <w:t>Confis</w:t>
      </w:r>
      <w:proofErr w:type="spellEnd"/>
      <w:r w:rsidRPr="00904F69">
        <w:rPr>
          <w:rFonts w:ascii="Times New Roman" w:hAnsi="Times New Roman"/>
          <w:spacing w:val="-3"/>
          <w:sz w:val="24"/>
          <w:szCs w:val="24"/>
        </w:rPr>
        <w:t xml:space="preserve"> número  4 de 2009, el IDU incorporó en la cuenta Bienes de Uso Público el valor de $</w:t>
      </w:r>
      <w:r w:rsidRPr="007A3E3A">
        <w:t xml:space="preserve"> </w:t>
      </w:r>
      <w:r w:rsidRPr="007A3E3A">
        <w:rPr>
          <w:rFonts w:ascii="Times New Roman" w:hAnsi="Times New Roman"/>
          <w:spacing w:val="-3"/>
          <w:sz w:val="24"/>
          <w:szCs w:val="24"/>
        </w:rPr>
        <w:t>366</w:t>
      </w:r>
      <w:r w:rsidR="00C87140">
        <w:rPr>
          <w:rFonts w:ascii="Times New Roman" w:hAnsi="Times New Roman"/>
          <w:spacing w:val="-3"/>
          <w:sz w:val="24"/>
          <w:szCs w:val="24"/>
        </w:rPr>
        <w:t>.</w:t>
      </w:r>
      <w:r w:rsidRPr="007A3E3A">
        <w:rPr>
          <w:rFonts w:ascii="Times New Roman" w:hAnsi="Times New Roman"/>
          <w:spacing w:val="-3"/>
          <w:sz w:val="24"/>
          <w:szCs w:val="24"/>
        </w:rPr>
        <w:t>592</w:t>
      </w:r>
      <w:r w:rsidR="00C87140">
        <w:rPr>
          <w:rFonts w:ascii="Times New Roman" w:hAnsi="Times New Roman"/>
          <w:spacing w:val="-3"/>
          <w:sz w:val="24"/>
          <w:szCs w:val="24"/>
        </w:rPr>
        <w:t>.</w:t>
      </w:r>
      <w:r w:rsidRPr="007A3E3A">
        <w:rPr>
          <w:rFonts w:ascii="Times New Roman" w:hAnsi="Times New Roman"/>
          <w:spacing w:val="-3"/>
          <w:sz w:val="24"/>
          <w:szCs w:val="24"/>
        </w:rPr>
        <w:t>469</w:t>
      </w:r>
      <w:r w:rsidR="00C87140">
        <w:rPr>
          <w:rFonts w:ascii="Times New Roman" w:hAnsi="Times New Roman"/>
          <w:spacing w:val="-3"/>
          <w:sz w:val="24"/>
          <w:szCs w:val="24"/>
        </w:rPr>
        <w:t>.</w:t>
      </w:r>
      <w:r w:rsidRPr="007A3E3A">
        <w:rPr>
          <w:rFonts w:ascii="Times New Roman" w:hAnsi="Times New Roman"/>
          <w:spacing w:val="-3"/>
          <w:sz w:val="24"/>
          <w:szCs w:val="24"/>
        </w:rPr>
        <w:t>334</w:t>
      </w:r>
      <w:r w:rsidR="00C87140">
        <w:rPr>
          <w:rFonts w:ascii="Times New Roman" w:hAnsi="Times New Roman"/>
          <w:spacing w:val="-3"/>
          <w:sz w:val="24"/>
          <w:szCs w:val="24"/>
        </w:rPr>
        <w:t>,</w:t>
      </w:r>
      <w:r w:rsidRPr="00904F69">
        <w:rPr>
          <w:rFonts w:ascii="Times New Roman" w:hAnsi="Times New Roman"/>
          <w:spacing w:val="-3"/>
          <w:sz w:val="24"/>
          <w:szCs w:val="24"/>
        </w:rPr>
        <w:t xml:space="preserve"> correspondiente a la información remitida por Transmilenio S.A.</w:t>
      </w:r>
      <w:r w:rsidR="00C87140">
        <w:rPr>
          <w:rFonts w:ascii="Times New Roman" w:hAnsi="Times New Roman"/>
          <w:spacing w:val="-3"/>
          <w:sz w:val="24"/>
          <w:szCs w:val="24"/>
        </w:rPr>
        <w:t>,</w:t>
      </w:r>
      <w:r w:rsidRPr="00904F69">
        <w:rPr>
          <w:rFonts w:ascii="Times New Roman" w:hAnsi="Times New Roman"/>
          <w:spacing w:val="-3"/>
          <w:sz w:val="24"/>
          <w:szCs w:val="24"/>
        </w:rPr>
        <w:t xml:space="preserve"> durante la vigencia 201</w:t>
      </w:r>
      <w:r>
        <w:rPr>
          <w:rFonts w:ascii="Times New Roman" w:hAnsi="Times New Roman"/>
          <w:spacing w:val="-3"/>
          <w:sz w:val="24"/>
          <w:szCs w:val="24"/>
        </w:rPr>
        <w:t>9</w:t>
      </w:r>
      <w:r w:rsidRPr="00904F69">
        <w:rPr>
          <w:rFonts w:ascii="Times New Roman" w:hAnsi="Times New Roman"/>
          <w:spacing w:val="-3"/>
          <w:sz w:val="24"/>
          <w:szCs w:val="24"/>
        </w:rPr>
        <w:t xml:space="preserve"> de los valores pagados para la Infraestructura del Sistema Integrado de Transporte: Troncales y </w:t>
      </w:r>
      <w:r w:rsidR="009D53E3">
        <w:rPr>
          <w:rFonts w:ascii="Times New Roman" w:hAnsi="Times New Roman"/>
          <w:spacing w:val="-3"/>
          <w:sz w:val="24"/>
          <w:szCs w:val="24"/>
        </w:rPr>
        <w:t xml:space="preserve">Transmicable </w:t>
      </w:r>
      <w:r w:rsidRPr="00904F69">
        <w:rPr>
          <w:rFonts w:ascii="Times New Roman" w:hAnsi="Times New Roman"/>
          <w:spacing w:val="-3"/>
          <w:sz w:val="24"/>
          <w:szCs w:val="24"/>
        </w:rPr>
        <w:t xml:space="preserve">Ciudad Bolívar. </w:t>
      </w:r>
      <w:r>
        <w:rPr>
          <w:rFonts w:ascii="Times New Roman" w:hAnsi="Times New Roman"/>
          <w:spacing w:val="-3"/>
          <w:sz w:val="24"/>
          <w:szCs w:val="24"/>
        </w:rPr>
        <w:t>Presenta un aumento en relación con la vigencia 2018 del 5,11% por $17.828.538.367</w:t>
      </w:r>
    </w:p>
    <w:p w14:paraId="2A63E0E6" w14:textId="77777777" w:rsidR="003D2A12" w:rsidRDefault="003D2A12" w:rsidP="00AB4D08">
      <w:pPr>
        <w:spacing w:line="240" w:lineRule="auto"/>
        <w:ind w:left="567"/>
        <w:contextualSpacing/>
        <w:jc w:val="both"/>
        <w:rPr>
          <w:rFonts w:ascii="Times New Roman" w:hAnsi="Times New Roman"/>
          <w:spacing w:val="-3"/>
          <w:sz w:val="24"/>
          <w:szCs w:val="24"/>
        </w:rPr>
      </w:pPr>
    </w:p>
    <w:p w14:paraId="7DFE7C71" w14:textId="04CE9690" w:rsidR="00713388" w:rsidRDefault="009D53E3" w:rsidP="00AB4D08">
      <w:pPr>
        <w:spacing w:line="240" w:lineRule="auto"/>
        <w:ind w:left="567"/>
        <w:contextualSpacing/>
        <w:jc w:val="both"/>
        <w:rPr>
          <w:rFonts w:ascii="Times New Roman" w:hAnsi="Times New Roman"/>
          <w:spacing w:val="-3"/>
          <w:sz w:val="24"/>
          <w:szCs w:val="24"/>
        </w:rPr>
      </w:pPr>
      <w:r w:rsidRPr="009D53E3">
        <w:rPr>
          <w:noProof/>
          <w:lang w:eastAsia="es-CO"/>
        </w:rPr>
        <w:drawing>
          <wp:inline distT="0" distB="0" distL="0" distR="0" wp14:anchorId="31024EF1" wp14:editId="49560A1B">
            <wp:extent cx="3640455" cy="810895"/>
            <wp:effectExtent l="0" t="0" r="0" b="825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0455" cy="810895"/>
                    </a:xfrm>
                    <a:prstGeom prst="rect">
                      <a:avLst/>
                    </a:prstGeom>
                    <a:noFill/>
                    <a:ln>
                      <a:noFill/>
                    </a:ln>
                  </pic:spPr>
                </pic:pic>
              </a:graphicData>
            </a:graphic>
          </wp:inline>
        </w:drawing>
      </w:r>
    </w:p>
    <w:p w14:paraId="54B7B18B" w14:textId="0472C33F" w:rsidR="003D2A12" w:rsidRDefault="003D2A12" w:rsidP="00AB4D08">
      <w:pPr>
        <w:spacing w:line="240" w:lineRule="auto"/>
        <w:ind w:left="567"/>
        <w:contextualSpacing/>
        <w:jc w:val="both"/>
        <w:rPr>
          <w:rFonts w:ascii="Times New Roman" w:hAnsi="Times New Roman"/>
          <w:spacing w:val="-3"/>
          <w:sz w:val="24"/>
          <w:szCs w:val="24"/>
        </w:rPr>
      </w:pPr>
    </w:p>
    <w:p w14:paraId="2623011B" w14:textId="65ED59EB" w:rsidR="003D2A12" w:rsidRDefault="00713388" w:rsidP="00AB4D08">
      <w:pPr>
        <w:spacing w:line="240" w:lineRule="auto"/>
        <w:ind w:left="567"/>
        <w:contextualSpacing/>
        <w:jc w:val="both"/>
        <w:rPr>
          <w:rFonts w:ascii="Times New Roman" w:hAnsi="Times New Roman"/>
          <w:spacing w:val="-3"/>
          <w:sz w:val="24"/>
          <w:szCs w:val="24"/>
        </w:rPr>
      </w:pPr>
      <w:r>
        <w:rPr>
          <w:rFonts w:ascii="Times New Roman" w:hAnsi="Times New Roman"/>
          <w:spacing w:val="-3"/>
          <w:sz w:val="24"/>
          <w:szCs w:val="24"/>
        </w:rPr>
        <w:t>Saldos comparativos de los Bienes de uso Público:</w:t>
      </w:r>
    </w:p>
    <w:p w14:paraId="7A3507B1" w14:textId="77777777" w:rsidR="00C347E6" w:rsidRDefault="00C347E6" w:rsidP="00AB4D08">
      <w:pPr>
        <w:spacing w:line="240" w:lineRule="auto"/>
        <w:ind w:left="567"/>
        <w:contextualSpacing/>
        <w:jc w:val="both"/>
        <w:rPr>
          <w:rFonts w:ascii="Times New Roman" w:hAnsi="Times New Roman"/>
          <w:spacing w:val="-3"/>
          <w:sz w:val="24"/>
          <w:szCs w:val="24"/>
        </w:rPr>
      </w:pPr>
    </w:p>
    <w:tbl>
      <w:tblPr>
        <w:tblW w:w="8720" w:type="dxa"/>
        <w:tblInd w:w="53" w:type="dxa"/>
        <w:tblCellMar>
          <w:left w:w="0" w:type="dxa"/>
          <w:right w:w="0" w:type="dxa"/>
        </w:tblCellMar>
        <w:tblLook w:val="04A0" w:firstRow="1" w:lastRow="0" w:firstColumn="1" w:lastColumn="0" w:noHBand="0" w:noVBand="1"/>
      </w:tblPr>
      <w:tblGrid>
        <w:gridCol w:w="3760"/>
        <w:gridCol w:w="1440"/>
        <w:gridCol w:w="1440"/>
        <w:gridCol w:w="1454"/>
        <w:gridCol w:w="626"/>
      </w:tblGrid>
      <w:tr w:rsidR="00C347E6" w:rsidRPr="00C347E6" w14:paraId="37584693" w14:textId="77777777" w:rsidTr="00C347E6">
        <w:trPr>
          <w:trHeight w:val="210"/>
        </w:trPr>
        <w:tc>
          <w:tcPr>
            <w:tcW w:w="3760" w:type="dxa"/>
            <w:vMerge w:val="restart"/>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5A72CCE3"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NOMBRE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012B1655"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2019</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6D0463A3"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2018</w:t>
            </w:r>
          </w:p>
        </w:tc>
        <w:tc>
          <w:tcPr>
            <w:tcW w:w="2080" w:type="dxa"/>
            <w:gridSpan w:val="2"/>
            <w:tcBorders>
              <w:top w:val="single" w:sz="4" w:space="0" w:color="auto"/>
              <w:left w:val="nil"/>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5C6F5D39"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VARIACIÓN</w:t>
            </w:r>
          </w:p>
        </w:tc>
      </w:tr>
      <w:tr w:rsidR="00C347E6" w:rsidRPr="00C347E6" w14:paraId="63CCC249" w14:textId="77777777" w:rsidTr="00C347E6">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83A56"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2D346"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0230F"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p>
        </w:tc>
        <w:tc>
          <w:tcPr>
            <w:tcW w:w="0" w:type="auto"/>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06FDCF65"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w:t>
            </w:r>
          </w:p>
        </w:tc>
        <w:tc>
          <w:tcPr>
            <w:tcW w:w="0" w:type="auto"/>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center"/>
            <w:hideMark/>
          </w:tcPr>
          <w:p w14:paraId="5209FA1B"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w:t>
            </w:r>
          </w:p>
        </w:tc>
      </w:tr>
      <w:tr w:rsidR="00C347E6" w:rsidRPr="00C347E6" w14:paraId="36C86D64" w14:textId="77777777" w:rsidTr="00C347E6">
        <w:trPr>
          <w:trHeight w:val="21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41465A9D" w14:textId="77777777" w:rsidR="00C347E6" w:rsidRPr="00C347E6" w:rsidRDefault="00C347E6" w:rsidP="00AB4D08">
            <w:pPr>
              <w:spacing w:after="0" w:line="240" w:lineRule="auto"/>
              <w:contextualSpacing/>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BIENES RECIBIDOS SIN CONTRAPRESTACIÓN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430F08AF"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xml:space="preserve">  366,592,469,334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32CCFEA3"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xml:space="preserve">  348,763,930,968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7D517D9D"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xml:space="preserve">   17,828,538,367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3A4CFE66" w14:textId="77777777" w:rsidR="00C347E6" w:rsidRPr="00C347E6" w:rsidRDefault="00C347E6" w:rsidP="00AB4D08">
            <w:pPr>
              <w:spacing w:after="0" w:line="240" w:lineRule="auto"/>
              <w:contextualSpacing/>
              <w:jc w:val="right"/>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5.11</w:t>
            </w:r>
          </w:p>
        </w:tc>
      </w:tr>
      <w:tr w:rsidR="00C347E6" w:rsidRPr="00C347E6" w14:paraId="2E783FC0" w14:textId="77777777" w:rsidTr="00C347E6">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4219631B" w14:textId="77777777" w:rsidR="00C347E6" w:rsidRPr="00C347E6" w:rsidRDefault="00C347E6" w:rsidP="00AB4D08">
            <w:pPr>
              <w:spacing w:after="0" w:line="240" w:lineRule="auto"/>
              <w:contextualSpacing/>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TRASLADO BUP 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62FBCB1D"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366,592,469,334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70ABFC3C"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332,629,756,361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10F88ECC"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33,962,712,974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2A8AEB79" w14:textId="77777777" w:rsidR="00C347E6" w:rsidRPr="00C347E6" w:rsidRDefault="00C347E6" w:rsidP="00AB4D08">
            <w:pPr>
              <w:spacing w:after="0" w:line="240" w:lineRule="auto"/>
              <w:contextualSpacing/>
              <w:jc w:val="right"/>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10.21</w:t>
            </w:r>
          </w:p>
        </w:tc>
      </w:tr>
      <w:tr w:rsidR="00C347E6" w:rsidRPr="00C347E6" w14:paraId="2B12AE69" w14:textId="77777777" w:rsidTr="00C347E6">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56326478" w14:textId="77777777" w:rsidR="00C347E6" w:rsidRPr="00C347E6" w:rsidRDefault="00C347E6" w:rsidP="00AB4D08">
            <w:pPr>
              <w:spacing w:after="0" w:line="240" w:lineRule="auto"/>
              <w:contextualSpacing/>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OTROS BIENES RECIBIDOS DE TERCEROS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66452084" w14:textId="2F4B09F0"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                          </w:t>
            </w:r>
            <w:r w:rsidRPr="00C347E6">
              <w:rPr>
                <w:rFonts w:ascii="Times New Roman" w:eastAsia="Times New Roman" w:hAnsi="Times New Roman"/>
                <w:color w:val="000000"/>
                <w:sz w:val="16"/>
                <w:szCs w:val="16"/>
                <w:lang w:eastAsia="es-CO"/>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04FD4864"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16,134,174,607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03CECF0B"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(16,134,174,607)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2FE97AA4" w14:textId="77777777" w:rsidR="00C347E6" w:rsidRPr="00C347E6" w:rsidRDefault="00C347E6" w:rsidP="00AB4D08">
            <w:pPr>
              <w:spacing w:after="0" w:line="240" w:lineRule="auto"/>
              <w:contextualSpacing/>
              <w:jc w:val="right"/>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-100.00</w:t>
            </w:r>
          </w:p>
        </w:tc>
      </w:tr>
      <w:tr w:rsidR="00C347E6" w:rsidRPr="00C347E6" w14:paraId="2F5F46A2" w14:textId="77777777" w:rsidTr="00C347E6">
        <w:trPr>
          <w:trHeight w:val="21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06B9BAE7" w14:textId="77777777" w:rsidR="00C347E6" w:rsidRPr="00C347E6" w:rsidRDefault="00C347E6" w:rsidP="00AB4D08">
            <w:pPr>
              <w:spacing w:after="0" w:line="240" w:lineRule="auto"/>
              <w:contextualSpacing/>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OTRAS TRANSFERENCIAS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1E43F1B5"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xml:space="preserve">    14,089,427,770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2F9C72AA"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xml:space="preserve">    16,463,429,474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1FE7A94B" w14:textId="77777777" w:rsidR="00C347E6" w:rsidRPr="00C347E6" w:rsidRDefault="00C347E6" w:rsidP="00AB4D08">
            <w:pPr>
              <w:spacing w:after="0" w:line="240" w:lineRule="auto"/>
              <w:contextualSpacing/>
              <w:jc w:val="center"/>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    (2,374,001,704)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15566B4E" w14:textId="77777777" w:rsidR="00C347E6" w:rsidRPr="00C347E6" w:rsidRDefault="00C347E6" w:rsidP="00AB4D08">
            <w:pPr>
              <w:spacing w:after="0" w:line="240" w:lineRule="auto"/>
              <w:contextualSpacing/>
              <w:jc w:val="right"/>
              <w:rPr>
                <w:rFonts w:ascii="Times New Roman" w:eastAsia="Times New Roman" w:hAnsi="Times New Roman"/>
                <w:b/>
                <w:bCs/>
                <w:color w:val="000000"/>
                <w:sz w:val="16"/>
                <w:szCs w:val="16"/>
                <w:lang w:eastAsia="es-CO"/>
              </w:rPr>
            </w:pPr>
            <w:r w:rsidRPr="00C347E6">
              <w:rPr>
                <w:rFonts w:ascii="Times New Roman" w:eastAsia="Times New Roman" w:hAnsi="Times New Roman"/>
                <w:b/>
                <w:bCs/>
                <w:color w:val="000000"/>
                <w:sz w:val="16"/>
                <w:szCs w:val="16"/>
                <w:lang w:eastAsia="es-CO"/>
              </w:rPr>
              <w:t>-14.42</w:t>
            </w:r>
          </w:p>
        </w:tc>
      </w:tr>
      <w:tr w:rsidR="00C347E6" w:rsidRPr="00C347E6" w14:paraId="2D9BD670" w14:textId="77777777" w:rsidTr="00C347E6">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752590A3" w14:textId="77777777" w:rsidR="00C347E6" w:rsidRPr="00C347E6" w:rsidRDefault="00C347E6" w:rsidP="00AB4D08">
            <w:pPr>
              <w:spacing w:after="0" w:line="240" w:lineRule="auto"/>
              <w:contextualSpacing/>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EJECUCIÓN CONV RECURSOS 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3D2AAA9C"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14,089,427,770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28E00401"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xml:space="preserve">    16,463,429,474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35067255" w14:textId="77777777" w:rsidR="00C347E6" w:rsidRPr="00C347E6" w:rsidRDefault="00C347E6" w:rsidP="00AB4D08">
            <w:pPr>
              <w:spacing w:after="0" w:line="240" w:lineRule="auto"/>
              <w:contextualSpacing/>
              <w:jc w:val="center"/>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    (2,374,001,704)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hideMark/>
          </w:tcPr>
          <w:p w14:paraId="535CE3CB" w14:textId="77777777" w:rsidR="00C347E6" w:rsidRPr="00C347E6" w:rsidRDefault="00C347E6" w:rsidP="00AB4D08">
            <w:pPr>
              <w:spacing w:after="0" w:line="240" w:lineRule="auto"/>
              <w:contextualSpacing/>
              <w:jc w:val="right"/>
              <w:rPr>
                <w:rFonts w:ascii="Times New Roman" w:eastAsia="Times New Roman" w:hAnsi="Times New Roman"/>
                <w:color w:val="000000"/>
                <w:sz w:val="16"/>
                <w:szCs w:val="16"/>
                <w:lang w:eastAsia="es-CO"/>
              </w:rPr>
            </w:pPr>
            <w:r w:rsidRPr="00C347E6">
              <w:rPr>
                <w:rFonts w:ascii="Times New Roman" w:eastAsia="Times New Roman" w:hAnsi="Times New Roman"/>
                <w:color w:val="000000"/>
                <w:sz w:val="16"/>
                <w:szCs w:val="16"/>
                <w:lang w:eastAsia="es-CO"/>
              </w:rPr>
              <w:t>-14.42</w:t>
            </w:r>
          </w:p>
        </w:tc>
      </w:tr>
    </w:tbl>
    <w:p w14:paraId="5F75177F" w14:textId="5D41CEA1" w:rsidR="00C347E6" w:rsidRDefault="00C347E6" w:rsidP="00AB4D08">
      <w:pPr>
        <w:spacing w:line="240" w:lineRule="auto"/>
        <w:ind w:left="567"/>
        <w:contextualSpacing/>
        <w:jc w:val="both"/>
        <w:rPr>
          <w:rFonts w:ascii="Times New Roman" w:hAnsi="Times New Roman"/>
          <w:spacing w:val="-3"/>
          <w:sz w:val="24"/>
          <w:szCs w:val="24"/>
        </w:rPr>
      </w:pPr>
    </w:p>
    <w:p w14:paraId="71542B57" w14:textId="2B13B908" w:rsidR="00C87140" w:rsidRDefault="00C87140" w:rsidP="00AB4D08">
      <w:pPr>
        <w:spacing w:line="240" w:lineRule="auto"/>
        <w:ind w:left="567"/>
        <w:contextualSpacing/>
        <w:jc w:val="both"/>
        <w:rPr>
          <w:rFonts w:ascii="Times New Roman" w:hAnsi="Times New Roman"/>
          <w:spacing w:val="-3"/>
          <w:sz w:val="24"/>
          <w:szCs w:val="24"/>
        </w:rPr>
      </w:pPr>
      <w:r w:rsidRPr="00265787">
        <w:rPr>
          <w:rFonts w:ascii="Times New Roman" w:hAnsi="Times New Roman"/>
          <w:spacing w:val="-3"/>
          <w:sz w:val="24"/>
          <w:szCs w:val="24"/>
        </w:rPr>
        <w:t>Recursos recibidos en administración</w:t>
      </w:r>
    </w:p>
    <w:p w14:paraId="29E1FC08" w14:textId="77777777" w:rsidR="00C87140" w:rsidRPr="00265787" w:rsidRDefault="00C87140" w:rsidP="00AB4D08">
      <w:pPr>
        <w:spacing w:line="240" w:lineRule="auto"/>
        <w:ind w:left="567"/>
        <w:contextualSpacing/>
        <w:jc w:val="both"/>
        <w:rPr>
          <w:rFonts w:ascii="Times New Roman" w:hAnsi="Times New Roman"/>
          <w:spacing w:val="-3"/>
          <w:sz w:val="24"/>
          <w:szCs w:val="24"/>
        </w:rPr>
      </w:pPr>
    </w:p>
    <w:p w14:paraId="450F9F11" w14:textId="04D0EC4F" w:rsidR="00C87140" w:rsidRPr="00265787" w:rsidRDefault="00C87140" w:rsidP="00AB4D08">
      <w:pPr>
        <w:spacing w:line="240" w:lineRule="auto"/>
        <w:ind w:left="567"/>
        <w:contextualSpacing/>
        <w:jc w:val="both"/>
        <w:rPr>
          <w:rFonts w:ascii="Times New Roman" w:hAnsi="Times New Roman"/>
          <w:sz w:val="24"/>
          <w:szCs w:val="24"/>
        </w:rPr>
      </w:pPr>
      <w:r w:rsidRPr="00265787">
        <w:rPr>
          <w:rFonts w:ascii="Times New Roman" w:hAnsi="Times New Roman"/>
          <w:spacing w:val="-3"/>
          <w:sz w:val="24"/>
          <w:szCs w:val="24"/>
        </w:rPr>
        <w:t>Representa los r</w:t>
      </w:r>
      <w:r w:rsidRPr="00265787">
        <w:rPr>
          <w:rFonts w:ascii="Times New Roman" w:hAnsi="Times New Roman"/>
          <w:sz w:val="24"/>
          <w:szCs w:val="24"/>
        </w:rPr>
        <w:t>ecursos recibidos de Transmilenio S.A., en virtud de los</w:t>
      </w:r>
      <w:r w:rsidR="00713388">
        <w:rPr>
          <w:rFonts w:ascii="Times New Roman" w:hAnsi="Times New Roman"/>
          <w:sz w:val="24"/>
          <w:szCs w:val="24"/>
        </w:rPr>
        <w:t xml:space="preserve"> c</w:t>
      </w:r>
      <w:r w:rsidRPr="00265787">
        <w:rPr>
          <w:rFonts w:ascii="Times New Roman" w:hAnsi="Times New Roman"/>
          <w:sz w:val="24"/>
          <w:szCs w:val="24"/>
        </w:rPr>
        <w:t xml:space="preserve">onvenios Interadministrativos 020/2001 para la contratación y pago de las inversiones requeridas para la </w:t>
      </w:r>
      <w:r w:rsidR="00713388">
        <w:rPr>
          <w:rFonts w:ascii="Times New Roman" w:hAnsi="Times New Roman"/>
          <w:sz w:val="24"/>
          <w:szCs w:val="24"/>
        </w:rPr>
        <w:t>i</w:t>
      </w:r>
      <w:r w:rsidRPr="00265787">
        <w:rPr>
          <w:rFonts w:ascii="Times New Roman" w:hAnsi="Times New Roman"/>
          <w:sz w:val="24"/>
          <w:szCs w:val="24"/>
        </w:rPr>
        <w:t xml:space="preserve">nfraestructura </w:t>
      </w:r>
      <w:r w:rsidR="00713388">
        <w:rPr>
          <w:rFonts w:ascii="Times New Roman" w:hAnsi="Times New Roman"/>
          <w:sz w:val="24"/>
          <w:szCs w:val="24"/>
        </w:rPr>
        <w:t>f</w:t>
      </w:r>
      <w:r w:rsidRPr="00265787">
        <w:rPr>
          <w:rFonts w:ascii="Times New Roman" w:hAnsi="Times New Roman"/>
          <w:sz w:val="24"/>
          <w:szCs w:val="24"/>
        </w:rPr>
        <w:t xml:space="preserve">ísica de las </w:t>
      </w:r>
      <w:r w:rsidR="00713388">
        <w:rPr>
          <w:rFonts w:ascii="Times New Roman" w:hAnsi="Times New Roman"/>
          <w:sz w:val="24"/>
          <w:szCs w:val="24"/>
        </w:rPr>
        <w:t>t</w:t>
      </w:r>
      <w:r w:rsidRPr="00265787">
        <w:rPr>
          <w:rFonts w:ascii="Times New Roman" w:hAnsi="Times New Roman"/>
          <w:sz w:val="24"/>
          <w:szCs w:val="24"/>
        </w:rPr>
        <w:t xml:space="preserve">roncales del </w:t>
      </w:r>
      <w:r w:rsidR="00713388">
        <w:rPr>
          <w:rFonts w:ascii="Times New Roman" w:hAnsi="Times New Roman"/>
          <w:sz w:val="24"/>
          <w:szCs w:val="24"/>
        </w:rPr>
        <w:t>s</w:t>
      </w:r>
      <w:r w:rsidRPr="00265787">
        <w:rPr>
          <w:rFonts w:ascii="Times New Roman" w:hAnsi="Times New Roman"/>
          <w:sz w:val="24"/>
          <w:szCs w:val="24"/>
        </w:rPr>
        <w:t xml:space="preserve">istema </w:t>
      </w:r>
      <w:r w:rsidR="00713388">
        <w:rPr>
          <w:rFonts w:ascii="Times New Roman" w:hAnsi="Times New Roman"/>
          <w:sz w:val="24"/>
          <w:szCs w:val="24"/>
        </w:rPr>
        <w:t>T</w:t>
      </w:r>
      <w:r w:rsidR="00713388" w:rsidRPr="00265787">
        <w:rPr>
          <w:rFonts w:ascii="Times New Roman" w:hAnsi="Times New Roman"/>
          <w:sz w:val="24"/>
          <w:szCs w:val="24"/>
        </w:rPr>
        <w:t>ransmilenio</w:t>
      </w:r>
      <w:r w:rsidRPr="00265787">
        <w:rPr>
          <w:rFonts w:ascii="Times New Roman" w:hAnsi="Times New Roman"/>
          <w:sz w:val="24"/>
          <w:szCs w:val="24"/>
        </w:rPr>
        <w:t>.</w:t>
      </w:r>
    </w:p>
    <w:p w14:paraId="26677001" w14:textId="77777777" w:rsidR="00713388" w:rsidRDefault="00713388" w:rsidP="00AB4D08">
      <w:pPr>
        <w:spacing w:line="240" w:lineRule="auto"/>
        <w:ind w:left="567"/>
        <w:contextualSpacing/>
        <w:jc w:val="both"/>
        <w:rPr>
          <w:rFonts w:ascii="Times New Roman" w:hAnsi="Times New Roman"/>
          <w:sz w:val="24"/>
          <w:szCs w:val="24"/>
        </w:rPr>
      </w:pPr>
    </w:p>
    <w:p w14:paraId="03562FC3" w14:textId="0AE4F5C2" w:rsidR="00C87140" w:rsidRPr="00265787" w:rsidRDefault="00C87140" w:rsidP="00AB4D08">
      <w:pPr>
        <w:spacing w:line="240" w:lineRule="auto"/>
        <w:ind w:left="567"/>
        <w:contextualSpacing/>
        <w:jc w:val="both"/>
        <w:rPr>
          <w:rFonts w:ascii="Times New Roman" w:hAnsi="Times New Roman"/>
          <w:sz w:val="24"/>
          <w:szCs w:val="24"/>
        </w:rPr>
      </w:pPr>
      <w:r w:rsidRPr="00265787">
        <w:rPr>
          <w:rFonts w:ascii="Times New Roman" w:hAnsi="Times New Roman"/>
          <w:sz w:val="24"/>
          <w:szCs w:val="24"/>
        </w:rPr>
        <w:t>Durante la vigencia</w:t>
      </w:r>
      <w:r w:rsidR="00713388">
        <w:rPr>
          <w:rFonts w:ascii="Times New Roman" w:hAnsi="Times New Roman"/>
          <w:sz w:val="24"/>
          <w:szCs w:val="24"/>
        </w:rPr>
        <w:t xml:space="preserve"> 2019</w:t>
      </w:r>
      <w:r w:rsidRPr="00265787">
        <w:rPr>
          <w:rFonts w:ascii="Times New Roman" w:hAnsi="Times New Roman"/>
          <w:sz w:val="24"/>
          <w:szCs w:val="24"/>
        </w:rPr>
        <w:t>, se ejecutaron recursos del Convenio 20/01 por</w:t>
      </w:r>
      <w:r w:rsidR="00713388">
        <w:rPr>
          <w:rFonts w:ascii="Times New Roman" w:hAnsi="Times New Roman"/>
          <w:sz w:val="24"/>
          <w:szCs w:val="24"/>
        </w:rPr>
        <w:t xml:space="preserve"> valor de</w:t>
      </w:r>
      <w:r w:rsidRPr="00265787">
        <w:rPr>
          <w:rFonts w:ascii="Times New Roman" w:hAnsi="Times New Roman"/>
          <w:sz w:val="24"/>
          <w:szCs w:val="24"/>
        </w:rPr>
        <w:t xml:space="preserve"> $</w:t>
      </w:r>
      <w:r>
        <w:rPr>
          <w:rFonts w:ascii="Times New Roman" w:hAnsi="Times New Roman"/>
          <w:sz w:val="24"/>
          <w:szCs w:val="24"/>
        </w:rPr>
        <w:t>14.</w:t>
      </w:r>
      <w:r w:rsidRPr="00265787">
        <w:rPr>
          <w:rFonts w:ascii="Times New Roman" w:hAnsi="Times New Roman"/>
          <w:sz w:val="24"/>
          <w:szCs w:val="24"/>
        </w:rPr>
        <w:t>089</w:t>
      </w:r>
      <w:r>
        <w:rPr>
          <w:rFonts w:ascii="Times New Roman" w:hAnsi="Times New Roman"/>
          <w:sz w:val="24"/>
          <w:szCs w:val="24"/>
        </w:rPr>
        <w:t>.</w:t>
      </w:r>
      <w:r w:rsidRPr="00265787">
        <w:rPr>
          <w:rFonts w:ascii="Times New Roman" w:hAnsi="Times New Roman"/>
          <w:sz w:val="24"/>
          <w:szCs w:val="24"/>
        </w:rPr>
        <w:t>427</w:t>
      </w:r>
      <w:r>
        <w:rPr>
          <w:rFonts w:ascii="Times New Roman" w:hAnsi="Times New Roman"/>
          <w:sz w:val="24"/>
          <w:szCs w:val="24"/>
        </w:rPr>
        <w:t>.</w:t>
      </w:r>
      <w:r w:rsidRPr="00265787">
        <w:rPr>
          <w:rFonts w:ascii="Times New Roman" w:hAnsi="Times New Roman"/>
          <w:sz w:val="24"/>
          <w:szCs w:val="24"/>
        </w:rPr>
        <w:t>770, presenta una disminución del 14,42% por $2</w:t>
      </w:r>
      <w:r>
        <w:rPr>
          <w:rFonts w:ascii="Times New Roman" w:hAnsi="Times New Roman"/>
          <w:sz w:val="24"/>
          <w:szCs w:val="24"/>
        </w:rPr>
        <w:t>.</w:t>
      </w:r>
      <w:r w:rsidRPr="00265787">
        <w:rPr>
          <w:rFonts w:ascii="Times New Roman" w:hAnsi="Times New Roman"/>
          <w:sz w:val="24"/>
          <w:szCs w:val="24"/>
        </w:rPr>
        <w:t>374</w:t>
      </w:r>
      <w:r>
        <w:rPr>
          <w:rFonts w:ascii="Times New Roman" w:hAnsi="Times New Roman"/>
          <w:sz w:val="24"/>
          <w:szCs w:val="24"/>
        </w:rPr>
        <w:t>.</w:t>
      </w:r>
      <w:r w:rsidRPr="00265787">
        <w:rPr>
          <w:rFonts w:ascii="Times New Roman" w:hAnsi="Times New Roman"/>
          <w:sz w:val="24"/>
          <w:szCs w:val="24"/>
        </w:rPr>
        <w:t>001</w:t>
      </w:r>
      <w:r>
        <w:rPr>
          <w:rFonts w:ascii="Times New Roman" w:hAnsi="Times New Roman"/>
          <w:sz w:val="24"/>
          <w:szCs w:val="24"/>
        </w:rPr>
        <w:t>.</w:t>
      </w:r>
      <w:r w:rsidRPr="00265787">
        <w:rPr>
          <w:rFonts w:ascii="Times New Roman" w:hAnsi="Times New Roman"/>
          <w:sz w:val="24"/>
          <w:szCs w:val="24"/>
        </w:rPr>
        <w:t>704</w:t>
      </w:r>
      <w:r w:rsidR="00713388">
        <w:rPr>
          <w:rFonts w:ascii="Times New Roman" w:hAnsi="Times New Roman"/>
          <w:sz w:val="24"/>
          <w:szCs w:val="24"/>
        </w:rPr>
        <w:t>.</w:t>
      </w:r>
    </w:p>
    <w:p w14:paraId="3E53D0DE" w14:textId="77777777" w:rsidR="00C87140" w:rsidRDefault="00C87140" w:rsidP="00AB4D08">
      <w:pPr>
        <w:spacing w:line="240" w:lineRule="auto"/>
        <w:ind w:left="567"/>
        <w:contextualSpacing/>
        <w:jc w:val="both"/>
        <w:rPr>
          <w:rFonts w:ascii="Times New Roman" w:hAnsi="Times New Roman"/>
          <w:sz w:val="24"/>
          <w:szCs w:val="24"/>
        </w:rPr>
      </w:pPr>
    </w:p>
    <w:p w14:paraId="1C73047D" w14:textId="77777777" w:rsidR="00C87140" w:rsidRPr="00265787" w:rsidRDefault="00C87140" w:rsidP="00AB4D08">
      <w:pPr>
        <w:spacing w:line="240" w:lineRule="auto"/>
        <w:ind w:left="567"/>
        <w:contextualSpacing/>
        <w:jc w:val="both"/>
        <w:rPr>
          <w:rFonts w:ascii="Times New Roman" w:hAnsi="Times New Roman"/>
          <w:sz w:val="24"/>
          <w:szCs w:val="24"/>
        </w:rPr>
      </w:pPr>
      <w:r w:rsidRPr="00265787">
        <w:rPr>
          <w:rFonts w:ascii="Times New Roman" w:hAnsi="Times New Roman"/>
          <w:sz w:val="24"/>
          <w:szCs w:val="24"/>
        </w:rPr>
        <w:t xml:space="preserve">Presenta un saldo de $ </w:t>
      </w:r>
      <w:r w:rsidRPr="00265787">
        <w:rPr>
          <w:rFonts w:ascii="Times New Roman" w:eastAsia="Times New Roman" w:hAnsi="Times New Roman"/>
          <w:sz w:val="24"/>
          <w:szCs w:val="24"/>
          <w:lang w:eastAsia="es-CO"/>
        </w:rPr>
        <w:t xml:space="preserve">3.110.270.149, </w:t>
      </w:r>
      <w:r w:rsidRPr="00265787">
        <w:rPr>
          <w:rFonts w:ascii="Times New Roman" w:eastAsia="Times New Roman" w:hAnsi="Times New Roman"/>
          <w:b/>
          <w:sz w:val="24"/>
          <w:szCs w:val="24"/>
          <w:lang w:eastAsia="es-CO"/>
        </w:rPr>
        <w:t xml:space="preserve"> </w:t>
      </w:r>
      <w:r w:rsidRPr="00265787">
        <w:rPr>
          <w:rFonts w:ascii="Times New Roman" w:hAnsi="Times New Roman"/>
          <w:sz w:val="24"/>
          <w:szCs w:val="24"/>
        </w:rPr>
        <w:t xml:space="preserve">los cuales se discriminan así: </w:t>
      </w:r>
    </w:p>
    <w:p w14:paraId="136F0EEA" w14:textId="77777777" w:rsidR="00C87140" w:rsidRDefault="00C87140" w:rsidP="00AB4D08">
      <w:pPr>
        <w:spacing w:line="240" w:lineRule="auto"/>
        <w:ind w:left="567"/>
        <w:contextualSpacing/>
        <w:jc w:val="both"/>
        <w:rPr>
          <w:rFonts w:ascii="Times New Roman" w:hAnsi="Times New Roman"/>
          <w:sz w:val="24"/>
          <w:szCs w:val="24"/>
        </w:rPr>
      </w:pPr>
    </w:p>
    <w:p w14:paraId="3990C9C7" w14:textId="496838B2" w:rsidR="003D2A12" w:rsidRDefault="00C87140" w:rsidP="00AB4D08">
      <w:pPr>
        <w:spacing w:after="0" w:line="240" w:lineRule="auto"/>
        <w:ind w:left="567"/>
        <w:contextualSpacing/>
        <w:jc w:val="both"/>
        <w:rPr>
          <w:rFonts w:ascii="Times New Roman" w:hAnsi="Times New Roman"/>
          <w:b/>
          <w:sz w:val="24"/>
          <w:szCs w:val="24"/>
        </w:rPr>
      </w:pPr>
      <w:r w:rsidRPr="00C87140">
        <w:rPr>
          <w:noProof/>
          <w:lang w:eastAsia="es-CO"/>
        </w:rPr>
        <w:drawing>
          <wp:inline distT="0" distB="0" distL="0" distR="0" wp14:anchorId="1471A7C3" wp14:editId="73B03182">
            <wp:extent cx="3276600" cy="581025"/>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581025"/>
                    </a:xfrm>
                    <a:prstGeom prst="rect">
                      <a:avLst/>
                    </a:prstGeom>
                    <a:noFill/>
                    <a:ln>
                      <a:noFill/>
                    </a:ln>
                  </pic:spPr>
                </pic:pic>
              </a:graphicData>
            </a:graphic>
          </wp:inline>
        </w:drawing>
      </w:r>
    </w:p>
    <w:p w14:paraId="01F61F78" w14:textId="77777777" w:rsidR="00B93BA2" w:rsidRDefault="00B93BA2" w:rsidP="00AB4D08">
      <w:pPr>
        <w:spacing w:after="0" w:line="240" w:lineRule="auto"/>
        <w:ind w:left="567"/>
        <w:contextualSpacing/>
        <w:jc w:val="both"/>
        <w:rPr>
          <w:rFonts w:ascii="Times New Roman" w:hAnsi="Times New Roman"/>
          <w:b/>
          <w:sz w:val="24"/>
          <w:szCs w:val="24"/>
        </w:rPr>
      </w:pPr>
    </w:p>
    <w:p w14:paraId="5A220028" w14:textId="107A2F32" w:rsidR="00B93BA2" w:rsidRDefault="00B93BA2" w:rsidP="00AB4D08">
      <w:pPr>
        <w:spacing w:after="0" w:line="240" w:lineRule="auto"/>
        <w:ind w:left="567"/>
        <w:contextualSpacing/>
        <w:jc w:val="both"/>
        <w:rPr>
          <w:rFonts w:ascii="Times New Roman" w:hAnsi="Times New Roman"/>
          <w:b/>
          <w:sz w:val="24"/>
          <w:szCs w:val="24"/>
        </w:rPr>
      </w:pPr>
      <w:r>
        <w:rPr>
          <w:noProof/>
          <w:lang w:eastAsia="es-CO"/>
        </w:rPr>
        <w:drawing>
          <wp:inline distT="0" distB="0" distL="0" distR="0" wp14:anchorId="3A7144B7" wp14:editId="368C2BF5">
            <wp:extent cx="5791835" cy="7912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1835" cy="791210"/>
                    </a:xfrm>
                    <a:prstGeom prst="rect">
                      <a:avLst/>
                    </a:prstGeom>
                  </pic:spPr>
                </pic:pic>
              </a:graphicData>
            </a:graphic>
          </wp:inline>
        </w:drawing>
      </w:r>
    </w:p>
    <w:p w14:paraId="202715A7" w14:textId="77777777" w:rsidR="00007FD6" w:rsidRDefault="00007FD6" w:rsidP="00AB4D08">
      <w:pPr>
        <w:spacing w:after="0" w:line="240" w:lineRule="auto"/>
        <w:ind w:left="567"/>
        <w:contextualSpacing/>
        <w:jc w:val="both"/>
        <w:rPr>
          <w:rFonts w:ascii="Times New Roman" w:hAnsi="Times New Roman"/>
          <w:b/>
          <w:sz w:val="24"/>
          <w:szCs w:val="24"/>
        </w:rPr>
      </w:pPr>
    </w:p>
    <w:p w14:paraId="50F1E5F1" w14:textId="4E22565A" w:rsidR="00007FD6" w:rsidRDefault="00007FD6" w:rsidP="00AB4D08">
      <w:pPr>
        <w:spacing w:line="240" w:lineRule="auto"/>
        <w:ind w:left="567"/>
        <w:contextualSpacing/>
        <w:jc w:val="both"/>
        <w:rPr>
          <w:rFonts w:ascii="Times New Roman" w:hAnsi="Times New Roman"/>
          <w:sz w:val="24"/>
          <w:szCs w:val="24"/>
        </w:rPr>
      </w:pPr>
      <w:r w:rsidRPr="000C674E">
        <w:rPr>
          <w:rFonts w:ascii="Times New Roman" w:hAnsi="Times New Roman"/>
          <w:sz w:val="24"/>
          <w:szCs w:val="24"/>
        </w:rPr>
        <w:t>Se presenta una disminución neta del 41,42% debido a la liquidación del Convenio 112/15 – Primera Línea del Metro y la devolución de recursos a Transmilenio.</w:t>
      </w:r>
    </w:p>
    <w:p w14:paraId="1827BD10" w14:textId="77777777" w:rsidR="007F1885" w:rsidRDefault="007F1885" w:rsidP="00AB4D08">
      <w:pPr>
        <w:spacing w:line="240" w:lineRule="auto"/>
        <w:ind w:left="567"/>
        <w:contextualSpacing/>
        <w:jc w:val="both"/>
        <w:rPr>
          <w:rFonts w:ascii="Times New Roman" w:hAnsi="Times New Roman"/>
          <w:sz w:val="24"/>
          <w:szCs w:val="24"/>
        </w:rPr>
      </w:pPr>
    </w:p>
    <w:p w14:paraId="5EE6004D" w14:textId="77777777" w:rsidR="00955050" w:rsidRDefault="00955050" w:rsidP="00AB4D08">
      <w:pPr>
        <w:spacing w:line="240" w:lineRule="auto"/>
        <w:ind w:left="567"/>
        <w:contextualSpacing/>
        <w:jc w:val="both"/>
        <w:rPr>
          <w:rFonts w:ascii="Times New Roman" w:hAnsi="Times New Roman"/>
          <w:sz w:val="24"/>
          <w:szCs w:val="24"/>
        </w:rPr>
      </w:pPr>
    </w:p>
    <w:p w14:paraId="38A675A5" w14:textId="77777777" w:rsidR="00955050" w:rsidRDefault="00955050" w:rsidP="00AB4D08">
      <w:pPr>
        <w:spacing w:line="240" w:lineRule="auto"/>
        <w:ind w:left="567"/>
        <w:contextualSpacing/>
        <w:jc w:val="both"/>
        <w:rPr>
          <w:rFonts w:ascii="Times New Roman" w:hAnsi="Times New Roman"/>
          <w:sz w:val="24"/>
          <w:szCs w:val="24"/>
        </w:rPr>
      </w:pPr>
    </w:p>
    <w:p w14:paraId="64FC1574" w14:textId="77777777" w:rsidR="00955050" w:rsidRDefault="00955050" w:rsidP="00AB4D08">
      <w:pPr>
        <w:spacing w:line="240" w:lineRule="auto"/>
        <w:ind w:left="567"/>
        <w:contextualSpacing/>
        <w:jc w:val="both"/>
        <w:rPr>
          <w:rFonts w:ascii="Times New Roman" w:hAnsi="Times New Roman"/>
          <w:sz w:val="24"/>
          <w:szCs w:val="24"/>
        </w:rPr>
      </w:pPr>
    </w:p>
    <w:p w14:paraId="35CFED2A" w14:textId="77777777" w:rsidR="00955050" w:rsidRDefault="00955050" w:rsidP="00AB4D08">
      <w:pPr>
        <w:spacing w:line="240" w:lineRule="auto"/>
        <w:ind w:left="567"/>
        <w:contextualSpacing/>
        <w:jc w:val="both"/>
        <w:rPr>
          <w:rFonts w:ascii="Times New Roman" w:hAnsi="Times New Roman"/>
          <w:sz w:val="24"/>
          <w:szCs w:val="24"/>
        </w:rPr>
      </w:pPr>
    </w:p>
    <w:p w14:paraId="04CA3EED" w14:textId="77777777" w:rsidR="00955050" w:rsidRDefault="00955050" w:rsidP="00AB4D08">
      <w:pPr>
        <w:spacing w:line="240" w:lineRule="auto"/>
        <w:ind w:left="567"/>
        <w:contextualSpacing/>
        <w:jc w:val="both"/>
        <w:rPr>
          <w:rFonts w:ascii="Times New Roman" w:hAnsi="Times New Roman"/>
          <w:sz w:val="24"/>
          <w:szCs w:val="24"/>
        </w:rPr>
      </w:pPr>
    </w:p>
    <w:p w14:paraId="5DDCB554" w14:textId="77777777" w:rsidR="00955050" w:rsidRDefault="00955050" w:rsidP="00AB4D08">
      <w:pPr>
        <w:spacing w:line="240" w:lineRule="auto"/>
        <w:ind w:left="567"/>
        <w:contextualSpacing/>
        <w:jc w:val="both"/>
        <w:rPr>
          <w:rFonts w:ascii="Times New Roman" w:hAnsi="Times New Roman"/>
          <w:sz w:val="24"/>
          <w:szCs w:val="24"/>
        </w:rPr>
      </w:pPr>
    </w:p>
    <w:p w14:paraId="7725504C" w14:textId="77777777" w:rsidR="00955050" w:rsidRDefault="00955050" w:rsidP="00AB4D08">
      <w:pPr>
        <w:spacing w:line="240" w:lineRule="auto"/>
        <w:ind w:left="567"/>
        <w:contextualSpacing/>
        <w:jc w:val="both"/>
        <w:rPr>
          <w:rFonts w:ascii="Times New Roman" w:hAnsi="Times New Roman"/>
          <w:sz w:val="24"/>
          <w:szCs w:val="24"/>
        </w:rPr>
      </w:pPr>
    </w:p>
    <w:p w14:paraId="6D866C51" w14:textId="77777777" w:rsidR="00955050" w:rsidRDefault="00955050" w:rsidP="00AB4D08">
      <w:pPr>
        <w:spacing w:line="240" w:lineRule="auto"/>
        <w:ind w:left="567"/>
        <w:contextualSpacing/>
        <w:jc w:val="both"/>
        <w:rPr>
          <w:rFonts w:ascii="Times New Roman" w:hAnsi="Times New Roman"/>
          <w:sz w:val="24"/>
          <w:szCs w:val="24"/>
        </w:rPr>
      </w:pPr>
    </w:p>
    <w:p w14:paraId="58F6513E" w14:textId="77777777" w:rsidR="00955050" w:rsidRDefault="00955050" w:rsidP="00AB4D08">
      <w:pPr>
        <w:spacing w:line="240" w:lineRule="auto"/>
        <w:ind w:left="567"/>
        <w:contextualSpacing/>
        <w:jc w:val="both"/>
        <w:rPr>
          <w:rFonts w:ascii="Times New Roman" w:hAnsi="Times New Roman"/>
          <w:sz w:val="24"/>
          <w:szCs w:val="24"/>
        </w:rPr>
      </w:pPr>
    </w:p>
    <w:p w14:paraId="41B8EC74" w14:textId="77777777" w:rsidR="009D53E3" w:rsidRDefault="009D53E3" w:rsidP="00AB4D08">
      <w:pPr>
        <w:spacing w:line="240" w:lineRule="auto"/>
        <w:ind w:left="567"/>
        <w:contextualSpacing/>
        <w:jc w:val="both"/>
        <w:rPr>
          <w:rFonts w:ascii="Times New Roman" w:hAnsi="Times New Roman"/>
          <w:sz w:val="24"/>
          <w:szCs w:val="24"/>
        </w:rPr>
      </w:pPr>
    </w:p>
    <w:p w14:paraId="7361D626" w14:textId="60A0E96C" w:rsidR="007F1885" w:rsidRPr="00AA3069" w:rsidRDefault="007F1885" w:rsidP="00AB4D08">
      <w:pPr>
        <w:pStyle w:val="Ttulo2"/>
        <w:numPr>
          <w:ilvl w:val="1"/>
          <w:numId w:val="28"/>
        </w:numPr>
        <w:spacing w:line="240" w:lineRule="auto"/>
        <w:ind w:left="567" w:firstLine="0"/>
        <w:contextualSpacing/>
        <w:rPr>
          <w:rFonts w:cs="Times New Roman"/>
          <w:szCs w:val="24"/>
        </w:rPr>
      </w:pPr>
      <w:bookmarkStart w:id="54" w:name="_Toc32317268"/>
      <w:r w:rsidRPr="00AA3069">
        <w:rPr>
          <w:rFonts w:cs="Times New Roman"/>
          <w:szCs w:val="24"/>
        </w:rPr>
        <w:lastRenderedPageBreak/>
        <w:t>Bienes de uso público</w:t>
      </w:r>
      <w:bookmarkEnd w:id="54"/>
    </w:p>
    <w:p w14:paraId="5EEF3017" w14:textId="77777777" w:rsidR="00007FD6" w:rsidRDefault="00007FD6" w:rsidP="00AB4D08">
      <w:pPr>
        <w:spacing w:after="0" w:line="240" w:lineRule="auto"/>
        <w:ind w:left="567"/>
        <w:contextualSpacing/>
        <w:jc w:val="both"/>
        <w:rPr>
          <w:rFonts w:ascii="Times New Roman" w:hAnsi="Times New Roman"/>
          <w:b/>
          <w:sz w:val="24"/>
          <w:szCs w:val="24"/>
        </w:rPr>
      </w:pPr>
    </w:p>
    <w:p w14:paraId="20C72C71" w14:textId="6AD3E018" w:rsidR="00713388" w:rsidRDefault="00713388" w:rsidP="00AB4D08">
      <w:pPr>
        <w:spacing w:after="0" w:line="240" w:lineRule="auto"/>
        <w:ind w:left="567"/>
        <w:contextualSpacing/>
        <w:jc w:val="both"/>
        <w:rPr>
          <w:rFonts w:ascii="Times New Roman" w:hAnsi="Times New Roman"/>
          <w:b/>
          <w:sz w:val="24"/>
          <w:szCs w:val="24"/>
        </w:rPr>
      </w:pPr>
      <w:r w:rsidRPr="008B4D16">
        <w:rPr>
          <w:rFonts w:ascii="Times New Roman" w:eastAsia="Arial" w:hAnsi="Times New Roman"/>
          <w:sz w:val="24"/>
          <w:szCs w:val="24"/>
        </w:rPr>
        <w:t>A continuación se presenta el movimiento de la partida de bienes de uso público durante l</w:t>
      </w:r>
      <w:r w:rsidR="0033152C">
        <w:rPr>
          <w:rFonts w:ascii="Times New Roman" w:eastAsia="Arial" w:hAnsi="Times New Roman"/>
          <w:sz w:val="24"/>
          <w:szCs w:val="24"/>
        </w:rPr>
        <w:t>a vigencia</w:t>
      </w:r>
      <w:r w:rsidRPr="008B4D16">
        <w:rPr>
          <w:rFonts w:ascii="Times New Roman" w:eastAsia="Arial" w:hAnsi="Times New Roman"/>
          <w:sz w:val="24"/>
          <w:szCs w:val="24"/>
        </w:rPr>
        <w:t xml:space="preserve"> 2019</w:t>
      </w:r>
      <w:r>
        <w:rPr>
          <w:rFonts w:ascii="Times New Roman" w:eastAsia="Arial" w:hAnsi="Times New Roman"/>
          <w:sz w:val="24"/>
          <w:szCs w:val="24"/>
        </w:rPr>
        <w:t>:</w:t>
      </w:r>
    </w:p>
    <w:p w14:paraId="6D5F97F3" w14:textId="77777777" w:rsidR="002109A6" w:rsidRDefault="002109A6" w:rsidP="00AB4D08">
      <w:pPr>
        <w:spacing w:after="0" w:line="240" w:lineRule="auto"/>
        <w:ind w:left="567"/>
        <w:contextualSpacing/>
        <w:jc w:val="both"/>
        <w:rPr>
          <w:rFonts w:ascii="Times New Roman" w:hAnsi="Times New Roman"/>
          <w:b/>
          <w:sz w:val="24"/>
          <w:szCs w:val="24"/>
        </w:rPr>
      </w:pPr>
    </w:p>
    <w:bookmarkStart w:id="55" w:name="_MON_1642426613"/>
    <w:bookmarkEnd w:id="55"/>
    <w:p w14:paraId="07554735" w14:textId="6DD987D4" w:rsidR="002109A6" w:rsidRDefault="002109A6" w:rsidP="00AB4D08">
      <w:pPr>
        <w:spacing w:after="0" w:line="240" w:lineRule="auto"/>
        <w:ind w:left="567"/>
        <w:contextualSpacing/>
        <w:jc w:val="both"/>
        <w:rPr>
          <w:rFonts w:ascii="Times New Roman" w:hAnsi="Times New Roman"/>
          <w:b/>
          <w:sz w:val="24"/>
          <w:szCs w:val="24"/>
        </w:rPr>
      </w:pPr>
      <w:r w:rsidRPr="002E4A43">
        <w:rPr>
          <w:rFonts w:ascii="Times New Roman" w:eastAsia="Arial" w:hAnsi="Times New Roman"/>
          <w:sz w:val="24"/>
          <w:szCs w:val="24"/>
        </w:rPr>
        <w:object w:dxaOrig="13422" w:dyaOrig="8275" w14:anchorId="49E8B799">
          <v:shape id="_x0000_i1026" type="#_x0000_t75" style="width:424.55pt;height:258.8pt" o:ole="">
            <v:imagedata r:id="rId56" o:title=""/>
          </v:shape>
          <o:OLEObject Type="Embed" ProgID="Excel.Sheet.12" ShapeID="_x0000_i1026" DrawAspect="Content" ObjectID="_1643096350" r:id="rId57"/>
        </w:object>
      </w:r>
    </w:p>
    <w:p w14:paraId="6D996E87" w14:textId="77777777" w:rsidR="002109A6" w:rsidRDefault="002109A6" w:rsidP="00AB4D08">
      <w:pPr>
        <w:spacing w:after="0" w:line="240" w:lineRule="auto"/>
        <w:ind w:left="567"/>
        <w:contextualSpacing/>
        <w:jc w:val="both"/>
        <w:rPr>
          <w:rFonts w:ascii="Times New Roman" w:hAnsi="Times New Roman"/>
          <w:b/>
          <w:sz w:val="24"/>
          <w:szCs w:val="24"/>
        </w:rPr>
      </w:pPr>
    </w:p>
    <w:p w14:paraId="0C35BA87" w14:textId="67C3297D" w:rsidR="00373EE5" w:rsidRDefault="00373EE5"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 xml:space="preserve">El incremento de </w:t>
      </w:r>
      <w:r w:rsidR="002109A6">
        <w:rPr>
          <w:rFonts w:ascii="Times New Roman" w:eastAsia="Arial" w:hAnsi="Times New Roman"/>
          <w:sz w:val="24"/>
          <w:szCs w:val="24"/>
        </w:rPr>
        <w:t xml:space="preserve">los </w:t>
      </w:r>
      <w:r w:rsidRPr="002E4A43">
        <w:rPr>
          <w:rFonts w:ascii="Times New Roman" w:eastAsia="Arial" w:hAnsi="Times New Roman"/>
          <w:sz w:val="24"/>
          <w:szCs w:val="24"/>
        </w:rPr>
        <w:t xml:space="preserve">bienes </w:t>
      </w:r>
      <w:r w:rsidR="002109A6">
        <w:rPr>
          <w:rFonts w:ascii="Times New Roman" w:eastAsia="Arial" w:hAnsi="Times New Roman"/>
          <w:sz w:val="24"/>
          <w:szCs w:val="24"/>
        </w:rPr>
        <w:t xml:space="preserve">de uso público </w:t>
      </w:r>
      <w:r w:rsidRPr="002E4A43">
        <w:rPr>
          <w:rFonts w:ascii="Times New Roman" w:eastAsia="Arial" w:hAnsi="Times New Roman"/>
          <w:sz w:val="24"/>
          <w:szCs w:val="24"/>
        </w:rPr>
        <w:t>en construcción está representado en el registro de los costos de los proyectos que se encuentran en ejecución como:</w:t>
      </w:r>
    </w:p>
    <w:p w14:paraId="265FEB9F" w14:textId="77777777" w:rsidR="00373EE5" w:rsidRDefault="00373EE5" w:rsidP="00AB4D08">
      <w:pPr>
        <w:spacing w:after="0" w:line="240" w:lineRule="auto"/>
        <w:ind w:left="709" w:hanging="142"/>
        <w:contextualSpacing/>
        <w:jc w:val="both"/>
        <w:rPr>
          <w:rFonts w:ascii="Times New Roman" w:eastAsia="Arial" w:hAnsi="Times New Roman"/>
          <w:sz w:val="24"/>
          <w:szCs w:val="24"/>
        </w:rPr>
      </w:pPr>
    </w:p>
    <w:p w14:paraId="1CFC0079" w14:textId="77777777" w:rsidR="00607469" w:rsidRDefault="00607469" w:rsidP="00AB4D08">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Estudios y </w:t>
      </w:r>
      <w:r w:rsidRPr="00373EE5">
        <w:rPr>
          <w:rFonts w:ascii="Times New Roman" w:eastAsia="Arial" w:hAnsi="Times New Roman"/>
          <w:sz w:val="24"/>
          <w:szCs w:val="24"/>
        </w:rPr>
        <w:t>Diseños Avenida Bosa desde Avenida Ciudad de Cali hasta Tintal</w:t>
      </w:r>
      <w:r w:rsidRPr="00373EE5">
        <w:rPr>
          <w:rFonts w:ascii="Times New Roman" w:hAnsi="Times New Roman"/>
          <w:sz w:val="24"/>
          <w:szCs w:val="24"/>
        </w:rPr>
        <w:t xml:space="preserve"> </w:t>
      </w:r>
    </w:p>
    <w:p w14:paraId="434E10F9" w14:textId="77777777" w:rsidR="00607469" w:rsidRPr="002E4A43" w:rsidRDefault="00607469" w:rsidP="00AB4D08">
      <w:pPr>
        <w:pStyle w:val="Prrafodelista"/>
        <w:numPr>
          <w:ilvl w:val="0"/>
          <w:numId w:val="41"/>
        </w:numPr>
        <w:spacing w:after="0" w:line="240" w:lineRule="auto"/>
        <w:jc w:val="both"/>
        <w:rPr>
          <w:rFonts w:ascii="Times New Roman" w:eastAsia="Arial" w:hAnsi="Times New Roman"/>
          <w:sz w:val="24"/>
          <w:szCs w:val="24"/>
        </w:rPr>
      </w:pPr>
      <w:r w:rsidRPr="002E4A43">
        <w:rPr>
          <w:rFonts w:ascii="Times New Roman" w:eastAsia="Arial" w:hAnsi="Times New Roman"/>
          <w:sz w:val="24"/>
          <w:szCs w:val="24"/>
        </w:rPr>
        <w:t>Construcción del corredor Bosa-Tintal-Alsacia</w:t>
      </w:r>
    </w:p>
    <w:p w14:paraId="24EDF56D" w14:textId="77777777" w:rsidR="00607469" w:rsidRPr="002E4A43" w:rsidRDefault="00607469" w:rsidP="00AB4D08">
      <w:pPr>
        <w:pStyle w:val="Prrafodelista"/>
        <w:numPr>
          <w:ilvl w:val="0"/>
          <w:numId w:val="41"/>
        </w:numPr>
        <w:spacing w:after="0" w:line="240" w:lineRule="auto"/>
        <w:jc w:val="both"/>
        <w:rPr>
          <w:rFonts w:ascii="Times New Roman" w:eastAsia="Arial" w:hAnsi="Times New Roman"/>
          <w:sz w:val="24"/>
          <w:szCs w:val="24"/>
        </w:rPr>
      </w:pPr>
      <w:r w:rsidRPr="002E4A43">
        <w:rPr>
          <w:rFonts w:ascii="Times New Roman" w:eastAsia="Arial" w:hAnsi="Times New Roman"/>
          <w:sz w:val="24"/>
          <w:szCs w:val="24"/>
        </w:rPr>
        <w:t>Construcción Avenida Guayacanes</w:t>
      </w:r>
    </w:p>
    <w:p w14:paraId="57ED2FB0" w14:textId="14432F62" w:rsidR="00607469" w:rsidRPr="002E4A43" w:rsidRDefault="00607469" w:rsidP="00AB4D08">
      <w:pPr>
        <w:pStyle w:val="Prrafodelista"/>
        <w:numPr>
          <w:ilvl w:val="0"/>
          <w:numId w:val="41"/>
        </w:numPr>
        <w:spacing w:after="0" w:line="240" w:lineRule="auto"/>
        <w:jc w:val="both"/>
        <w:rPr>
          <w:rFonts w:ascii="Times New Roman" w:eastAsia="Arial" w:hAnsi="Times New Roman"/>
          <w:sz w:val="24"/>
          <w:szCs w:val="24"/>
        </w:rPr>
      </w:pPr>
      <w:r w:rsidRPr="002E4A43">
        <w:rPr>
          <w:rFonts w:ascii="Times New Roman" w:eastAsia="Arial" w:hAnsi="Times New Roman"/>
          <w:sz w:val="24"/>
          <w:szCs w:val="24"/>
        </w:rPr>
        <w:t>Avenida Laureano Gómez desde Av. San José hasta Calle 183</w:t>
      </w:r>
    </w:p>
    <w:p w14:paraId="414B4BA7" w14:textId="77777777" w:rsidR="00607469" w:rsidRDefault="00607469" w:rsidP="00AB4D08">
      <w:pPr>
        <w:pStyle w:val="Prrafodelista"/>
        <w:numPr>
          <w:ilvl w:val="0"/>
          <w:numId w:val="41"/>
        </w:numPr>
        <w:spacing w:after="0" w:line="240" w:lineRule="auto"/>
        <w:jc w:val="both"/>
        <w:rPr>
          <w:rFonts w:ascii="Times New Roman" w:eastAsia="Arial" w:hAnsi="Times New Roman"/>
          <w:sz w:val="24"/>
          <w:szCs w:val="24"/>
        </w:rPr>
      </w:pPr>
      <w:r w:rsidRPr="002E4A43">
        <w:rPr>
          <w:rFonts w:ascii="Times New Roman" w:eastAsia="Arial" w:hAnsi="Times New Roman"/>
          <w:sz w:val="24"/>
          <w:szCs w:val="24"/>
        </w:rPr>
        <w:t>Avenida La Sirena desde Av. Laureano Gómez hasta Av. Santa Bárbara</w:t>
      </w:r>
    </w:p>
    <w:p w14:paraId="00A221E9" w14:textId="77777777" w:rsidR="00607469" w:rsidRDefault="00607469" w:rsidP="00AB4D08">
      <w:pPr>
        <w:pStyle w:val="Prrafodelista"/>
        <w:numPr>
          <w:ilvl w:val="0"/>
          <w:numId w:val="41"/>
        </w:numPr>
        <w:spacing w:after="0" w:line="240" w:lineRule="auto"/>
        <w:jc w:val="both"/>
        <w:rPr>
          <w:rFonts w:ascii="Times New Roman" w:eastAsia="Arial" w:hAnsi="Times New Roman"/>
          <w:sz w:val="24"/>
          <w:szCs w:val="24"/>
        </w:rPr>
      </w:pPr>
      <w:r w:rsidRPr="00B04B69">
        <w:rPr>
          <w:rFonts w:ascii="Times New Roman" w:eastAsia="Arial" w:hAnsi="Times New Roman"/>
          <w:sz w:val="24"/>
          <w:szCs w:val="24"/>
        </w:rPr>
        <w:t>Av. José Celestino Mutis (AC 63) desde K 114 hasta K 122</w:t>
      </w:r>
    </w:p>
    <w:p w14:paraId="450CB7F7" w14:textId="0C43CAFE" w:rsidR="00607469" w:rsidRPr="00607469" w:rsidRDefault="00607469" w:rsidP="00AB4D08">
      <w:pPr>
        <w:pStyle w:val="Prrafodelista"/>
        <w:numPr>
          <w:ilvl w:val="0"/>
          <w:numId w:val="41"/>
        </w:numPr>
        <w:spacing w:after="0" w:line="240" w:lineRule="auto"/>
        <w:jc w:val="both"/>
        <w:rPr>
          <w:rFonts w:ascii="Times New Roman" w:hAnsi="Times New Roman"/>
          <w:sz w:val="24"/>
          <w:szCs w:val="24"/>
        </w:rPr>
      </w:pPr>
      <w:r w:rsidRPr="00B04B69">
        <w:rPr>
          <w:rFonts w:ascii="Times New Roman" w:eastAsia="Arial" w:hAnsi="Times New Roman"/>
          <w:sz w:val="24"/>
          <w:szCs w:val="24"/>
        </w:rPr>
        <w:t>Av. el Rincón d</w:t>
      </w:r>
      <w:r>
        <w:rPr>
          <w:rFonts w:ascii="Times New Roman" w:eastAsia="Arial" w:hAnsi="Times New Roman"/>
          <w:sz w:val="24"/>
          <w:szCs w:val="24"/>
        </w:rPr>
        <w:t>e Av. Boyacá a Kr 91 e Intersecció</w:t>
      </w:r>
      <w:r w:rsidRPr="00B04B69">
        <w:rPr>
          <w:rFonts w:ascii="Times New Roman" w:eastAsia="Arial" w:hAnsi="Times New Roman"/>
          <w:sz w:val="24"/>
          <w:szCs w:val="24"/>
        </w:rPr>
        <w:t>n Av. el Rincón por Av. Boyacá Pte. Vehicular</w:t>
      </w:r>
    </w:p>
    <w:p w14:paraId="6B239991" w14:textId="77777777" w:rsidR="009D53E3" w:rsidRDefault="009D53E3" w:rsidP="00AB4D08">
      <w:pPr>
        <w:spacing w:after="0" w:line="240" w:lineRule="auto"/>
        <w:contextualSpacing/>
        <w:jc w:val="both"/>
        <w:rPr>
          <w:rFonts w:ascii="Times New Roman" w:hAnsi="Times New Roman"/>
          <w:sz w:val="24"/>
          <w:szCs w:val="24"/>
        </w:rPr>
      </w:pPr>
    </w:p>
    <w:p w14:paraId="569528E6" w14:textId="7C978E10" w:rsidR="00607469" w:rsidRDefault="003C197F"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Durante la vigencia</w:t>
      </w:r>
      <w:r w:rsidR="00607469" w:rsidRPr="002E4A43">
        <w:rPr>
          <w:rFonts w:ascii="Times New Roman" w:eastAsia="Arial" w:hAnsi="Times New Roman"/>
          <w:sz w:val="24"/>
          <w:szCs w:val="24"/>
        </w:rPr>
        <w:t xml:space="preserve"> 2019 se </w:t>
      </w:r>
      <w:r w:rsidRPr="002E4A43">
        <w:rPr>
          <w:rFonts w:ascii="Times New Roman" w:eastAsia="Arial" w:hAnsi="Times New Roman"/>
          <w:sz w:val="24"/>
          <w:szCs w:val="24"/>
        </w:rPr>
        <w:t>tr</w:t>
      </w:r>
      <w:r>
        <w:rPr>
          <w:rFonts w:ascii="Times New Roman" w:eastAsia="Arial" w:hAnsi="Times New Roman"/>
          <w:sz w:val="24"/>
          <w:szCs w:val="24"/>
        </w:rPr>
        <w:t>asladaron de la</w:t>
      </w:r>
      <w:r w:rsidR="00ED36F3">
        <w:rPr>
          <w:rFonts w:ascii="Times New Roman" w:eastAsia="Arial" w:hAnsi="Times New Roman"/>
          <w:sz w:val="24"/>
          <w:szCs w:val="24"/>
        </w:rPr>
        <w:t>s</w:t>
      </w:r>
      <w:r>
        <w:rPr>
          <w:rFonts w:ascii="Times New Roman" w:eastAsia="Arial" w:hAnsi="Times New Roman"/>
          <w:sz w:val="24"/>
          <w:szCs w:val="24"/>
        </w:rPr>
        <w:t xml:space="preserve"> cuentas contable</w:t>
      </w:r>
      <w:r w:rsidR="00955050">
        <w:rPr>
          <w:rFonts w:ascii="Times New Roman" w:eastAsia="Arial" w:hAnsi="Times New Roman"/>
          <w:sz w:val="24"/>
          <w:szCs w:val="24"/>
        </w:rPr>
        <w:t>s</w:t>
      </w:r>
      <w:r>
        <w:rPr>
          <w:rFonts w:ascii="Times New Roman" w:eastAsia="Arial" w:hAnsi="Times New Roman"/>
          <w:sz w:val="24"/>
          <w:szCs w:val="24"/>
        </w:rPr>
        <w:t xml:space="preserve"> bienes de uso público en construcción a bienes de uso público en </w:t>
      </w:r>
      <w:r w:rsidR="00607469">
        <w:rPr>
          <w:rFonts w:ascii="Times New Roman" w:eastAsia="Arial" w:hAnsi="Times New Roman"/>
          <w:sz w:val="24"/>
          <w:szCs w:val="24"/>
        </w:rPr>
        <w:t>servicio</w:t>
      </w:r>
      <w:r>
        <w:rPr>
          <w:rFonts w:ascii="Times New Roman" w:eastAsia="Arial" w:hAnsi="Times New Roman"/>
          <w:sz w:val="24"/>
          <w:szCs w:val="24"/>
        </w:rPr>
        <w:t>,</w:t>
      </w:r>
      <w:r w:rsidR="00607469">
        <w:rPr>
          <w:rFonts w:ascii="Times New Roman" w:eastAsia="Arial" w:hAnsi="Times New Roman"/>
          <w:sz w:val="24"/>
          <w:szCs w:val="24"/>
        </w:rPr>
        <w:t xml:space="preserve"> las siguientes obras:</w:t>
      </w:r>
      <w:r w:rsidR="00607469" w:rsidRPr="002E4A43">
        <w:rPr>
          <w:rFonts w:ascii="Times New Roman" w:eastAsia="Arial" w:hAnsi="Times New Roman"/>
          <w:sz w:val="24"/>
          <w:szCs w:val="24"/>
        </w:rPr>
        <w:t xml:space="preserve"> </w:t>
      </w:r>
    </w:p>
    <w:p w14:paraId="1FCF1B43" w14:textId="77777777" w:rsidR="00607469" w:rsidRPr="00607469" w:rsidRDefault="00607469" w:rsidP="00AB4D08">
      <w:pPr>
        <w:pStyle w:val="Prrafodelista"/>
        <w:spacing w:after="0" w:line="240" w:lineRule="auto"/>
        <w:ind w:left="1440"/>
        <w:jc w:val="both"/>
        <w:rPr>
          <w:rFonts w:ascii="Times New Roman" w:hAnsi="Times New Roman"/>
          <w:sz w:val="24"/>
          <w:szCs w:val="24"/>
        </w:rPr>
      </w:pPr>
    </w:p>
    <w:p w14:paraId="5B2D8072" w14:textId="47228EC4" w:rsidR="00607469" w:rsidRPr="00607469" w:rsidRDefault="00607469" w:rsidP="00AB4D08">
      <w:pPr>
        <w:pStyle w:val="Prrafodelista"/>
        <w:numPr>
          <w:ilvl w:val="0"/>
          <w:numId w:val="41"/>
        </w:numPr>
        <w:spacing w:after="0" w:line="240" w:lineRule="auto"/>
        <w:jc w:val="both"/>
        <w:rPr>
          <w:rFonts w:ascii="Times New Roman" w:hAnsi="Times New Roman"/>
          <w:sz w:val="24"/>
          <w:szCs w:val="24"/>
        </w:rPr>
      </w:pPr>
      <w:r>
        <w:rPr>
          <w:rFonts w:ascii="Times New Roman" w:eastAsia="Arial" w:hAnsi="Times New Roman"/>
          <w:sz w:val="24"/>
          <w:szCs w:val="24"/>
        </w:rPr>
        <w:t>Tramos faltantes Avenida Ferrocarril de Occidente (p</w:t>
      </w:r>
      <w:r w:rsidRPr="007A3CD4">
        <w:rPr>
          <w:rFonts w:ascii="Times New Roman" w:eastAsia="Arial" w:hAnsi="Times New Roman"/>
          <w:sz w:val="24"/>
          <w:szCs w:val="24"/>
        </w:rPr>
        <w:t xml:space="preserve">or la calzada norte </w:t>
      </w:r>
      <w:r>
        <w:rPr>
          <w:rFonts w:ascii="Times New Roman" w:eastAsia="Arial" w:hAnsi="Times New Roman"/>
          <w:sz w:val="24"/>
          <w:szCs w:val="24"/>
        </w:rPr>
        <w:t xml:space="preserve">- </w:t>
      </w:r>
      <w:r w:rsidRPr="007A3CD4">
        <w:rPr>
          <w:rFonts w:ascii="Times New Roman" w:eastAsia="Arial" w:hAnsi="Times New Roman"/>
          <w:sz w:val="24"/>
          <w:szCs w:val="24"/>
        </w:rPr>
        <w:t>tramo comprendido entre la carrera 100 y la carrera 96 i y po</w:t>
      </w:r>
      <w:r>
        <w:rPr>
          <w:rFonts w:ascii="Times New Roman" w:eastAsia="Arial" w:hAnsi="Times New Roman"/>
          <w:sz w:val="24"/>
          <w:szCs w:val="24"/>
        </w:rPr>
        <w:t xml:space="preserve">r la calzada sur - </w:t>
      </w:r>
      <w:r w:rsidRPr="007A3CD4">
        <w:rPr>
          <w:rFonts w:ascii="Times New Roman" w:eastAsia="Arial" w:hAnsi="Times New Roman"/>
          <w:sz w:val="24"/>
          <w:szCs w:val="24"/>
        </w:rPr>
        <w:t>tramo comprendido entre la carrera 96c y la carrera 93</w:t>
      </w:r>
      <w:r>
        <w:rPr>
          <w:rFonts w:ascii="Times New Roman" w:eastAsia="Arial" w:hAnsi="Times New Roman"/>
          <w:sz w:val="24"/>
          <w:szCs w:val="24"/>
        </w:rPr>
        <w:t>)</w:t>
      </w:r>
    </w:p>
    <w:p w14:paraId="7BA57B17" w14:textId="68AC98C9" w:rsidR="00607469" w:rsidRPr="00607469" w:rsidRDefault="00607469" w:rsidP="00AB4D08">
      <w:pPr>
        <w:pStyle w:val="Prrafodelista"/>
        <w:numPr>
          <w:ilvl w:val="0"/>
          <w:numId w:val="41"/>
        </w:numPr>
        <w:spacing w:after="0" w:line="240" w:lineRule="auto"/>
        <w:jc w:val="both"/>
        <w:rPr>
          <w:rFonts w:ascii="Times New Roman" w:hAnsi="Times New Roman"/>
          <w:sz w:val="24"/>
          <w:szCs w:val="24"/>
        </w:rPr>
      </w:pPr>
      <w:r>
        <w:rPr>
          <w:rFonts w:ascii="Times New Roman" w:eastAsia="Arial" w:hAnsi="Times New Roman"/>
          <w:sz w:val="24"/>
          <w:szCs w:val="24"/>
        </w:rPr>
        <w:t>Avenida Tabor desde la A</w:t>
      </w:r>
      <w:r w:rsidRPr="009A42C7">
        <w:rPr>
          <w:rFonts w:ascii="Times New Roman" w:eastAsia="Arial" w:hAnsi="Times New Roman"/>
          <w:sz w:val="24"/>
          <w:szCs w:val="24"/>
        </w:rPr>
        <w:t xml:space="preserve">v. </w:t>
      </w:r>
      <w:r>
        <w:rPr>
          <w:rFonts w:ascii="Times New Roman" w:eastAsia="Arial" w:hAnsi="Times New Roman"/>
          <w:sz w:val="24"/>
          <w:szCs w:val="24"/>
        </w:rPr>
        <w:t>La C</w:t>
      </w:r>
      <w:r w:rsidRPr="009A42C7">
        <w:rPr>
          <w:rFonts w:ascii="Times New Roman" w:eastAsia="Arial" w:hAnsi="Times New Roman"/>
          <w:sz w:val="24"/>
          <w:szCs w:val="24"/>
        </w:rPr>
        <w:t xml:space="preserve">onejera hasta </w:t>
      </w:r>
      <w:r>
        <w:rPr>
          <w:rFonts w:ascii="Times New Roman" w:eastAsia="Arial" w:hAnsi="Times New Roman"/>
          <w:sz w:val="24"/>
          <w:szCs w:val="24"/>
        </w:rPr>
        <w:t>Av. Ciudad de C</w:t>
      </w:r>
      <w:r w:rsidRPr="009A42C7">
        <w:rPr>
          <w:rFonts w:ascii="Times New Roman" w:eastAsia="Arial" w:hAnsi="Times New Roman"/>
          <w:sz w:val="24"/>
          <w:szCs w:val="24"/>
        </w:rPr>
        <w:t>ali</w:t>
      </w:r>
    </w:p>
    <w:p w14:paraId="4FDE3A56" w14:textId="787A60B7" w:rsidR="00607469" w:rsidRDefault="00607469" w:rsidP="00AB4D08">
      <w:pPr>
        <w:pStyle w:val="Prrafodelista"/>
        <w:numPr>
          <w:ilvl w:val="0"/>
          <w:numId w:val="41"/>
        </w:numPr>
        <w:spacing w:after="0" w:line="240" w:lineRule="auto"/>
        <w:jc w:val="both"/>
        <w:rPr>
          <w:rFonts w:ascii="Times New Roman" w:hAnsi="Times New Roman"/>
          <w:sz w:val="24"/>
          <w:szCs w:val="24"/>
        </w:rPr>
      </w:pPr>
      <w:r>
        <w:rPr>
          <w:rFonts w:ascii="Times New Roman" w:eastAsia="Arial" w:hAnsi="Times New Roman"/>
          <w:sz w:val="24"/>
          <w:szCs w:val="24"/>
        </w:rPr>
        <w:t>Puente vehicular de Avenida San Antonio  (calle 183), con Autopista N</w:t>
      </w:r>
      <w:r w:rsidRPr="007A3CD4">
        <w:rPr>
          <w:rFonts w:ascii="Times New Roman" w:eastAsia="Arial" w:hAnsi="Times New Roman"/>
          <w:sz w:val="24"/>
          <w:szCs w:val="24"/>
        </w:rPr>
        <w:t>orte, costado sur</w:t>
      </w:r>
      <w:r>
        <w:rPr>
          <w:rFonts w:ascii="Times New Roman" w:eastAsia="Arial" w:hAnsi="Times New Roman"/>
          <w:sz w:val="24"/>
          <w:szCs w:val="24"/>
        </w:rPr>
        <w:t>.</w:t>
      </w:r>
    </w:p>
    <w:p w14:paraId="5A1DAEB7" w14:textId="77777777" w:rsidR="00607469" w:rsidRDefault="00607469" w:rsidP="00AB4D08">
      <w:pPr>
        <w:spacing w:after="0" w:line="240" w:lineRule="auto"/>
        <w:contextualSpacing/>
        <w:jc w:val="both"/>
        <w:rPr>
          <w:rFonts w:ascii="Times New Roman" w:hAnsi="Times New Roman"/>
          <w:sz w:val="24"/>
          <w:szCs w:val="24"/>
        </w:rPr>
      </w:pPr>
    </w:p>
    <w:p w14:paraId="7601F4EB" w14:textId="159D68ED" w:rsidR="00607469" w:rsidRDefault="00607469"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A diciembre 31 de 2019</w:t>
      </w:r>
      <w:r>
        <w:rPr>
          <w:rFonts w:ascii="Times New Roman" w:eastAsia="Arial" w:hAnsi="Times New Roman"/>
          <w:sz w:val="24"/>
          <w:szCs w:val="24"/>
        </w:rPr>
        <w:t>,</w:t>
      </w:r>
      <w:r w:rsidRPr="002E4A43">
        <w:rPr>
          <w:rFonts w:ascii="Times New Roman" w:eastAsia="Arial" w:hAnsi="Times New Roman"/>
          <w:sz w:val="24"/>
          <w:szCs w:val="24"/>
        </w:rPr>
        <w:t xml:space="preserve"> se encuentran entregados en comodatos predios registrados como bienes de uso público en construcción así:</w:t>
      </w:r>
    </w:p>
    <w:p w14:paraId="297460BB" w14:textId="77777777" w:rsidR="00327557" w:rsidRDefault="00327557" w:rsidP="00AB4D08">
      <w:pPr>
        <w:spacing w:after="0" w:line="240" w:lineRule="auto"/>
        <w:ind w:left="567"/>
        <w:contextualSpacing/>
        <w:jc w:val="both"/>
        <w:rPr>
          <w:rFonts w:ascii="Times New Roman" w:eastAsia="Arial" w:hAnsi="Times New Roman"/>
          <w:sz w:val="24"/>
          <w:szCs w:val="24"/>
        </w:rPr>
      </w:pPr>
    </w:p>
    <w:bookmarkStart w:id="56" w:name="_MON_1642502796"/>
    <w:bookmarkEnd w:id="56"/>
    <w:p w14:paraId="70AFA565" w14:textId="33651AF4" w:rsidR="00327557" w:rsidRPr="002E4A43" w:rsidRDefault="00327557"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object w:dxaOrig="15087" w:dyaOrig="3750" w14:anchorId="1D690E20">
          <v:shape id="_x0000_i1027" type="#_x0000_t75" style="width:6in;height:108pt" o:ole="">
            <v:imagedata r:id="rId58" o:title=""/>
          </v:shape>
          <o:OLEObject Type="Embed" ProgID="Excel.Sheet.12" ShapeID="_x0000_i1027" DrawAspect="Content" ObjectID="_1643096351" r:id="rId59"/>
        </w:object>
      </w:r>
    </w:p>
    <w:p w14:paraId="28B74BA4" w14:textId="4A73A17E" w:rsidR="00607469" w:rsidRDefault="00607469" w:rsidP="00AB4D08">
      <w:pPr>
        <w:spacing w:after="0" w:line="240" w:lineRule="auto"/>
        <w:ind w:left="567"/>
        <w:contextualSpacing/>
        <w:jc w:val="both"/>
        <w:rPr>
          <w:rFonts w:ascii="Times New Roman" w:hAnsi="Times New Roman"/>
          <w:sz w:val="24"/>
          <w:szCs w:val="24"/>
        </w:rPr>
      </w:pPr>
    </w:p>
    <w:p w14:paraId="198004C8"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5F443410"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568E279F"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692E87D"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6CEDC233"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7840009B"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4A6431AB"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00D2549A"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0044581"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5EEB2A1F"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7EBBDECE"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085F90CE"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5542EE00"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03B15490"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4505D4A1"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0BBB06CC"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1007F93"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B2AFE79"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B713A28"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31D0CDF9"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327AA133"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586EFE7"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44AE4A9B"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6D710668"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40FA56A"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0749A110"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2EB49637"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60F386AF"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7982C515"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41910503" w14:textId="3BC87DA5" w:rsidR="00607469" w:rsidRDefault="00607469" w:rsidP="00AB4D08">
      <w:pPr>
        <w:spacing w:after="0" w:line="240" w:lineRule="auto"/>
        <w:ind w:left="567"/>
        <w:contextualSpacing/>
        <w:jc w:val="both"/>
        <w:rPr>
          <w:rFonts w:ascii="Times New Roman" w:eastAsia="Arial" w:hAnsi="Times New Roman"/>
          <w:sz w:val="24"/>
          <w:szCs w:val="24"/>
        </w:rPr>
      </w:pPr>
      <w:r w:rsidRPr="00DF591C">
        <w:rPr>
          <w:rFonts w:ascii="Times New Roman" w:eastAsia="Arial" w:hAnsi="Times New Roman"/>
          <w:sz w:val="24"/>
          <w:szCs w:val="24"/>
        </w:rPr>
        <w:t>A continuación se presenta el detalle de los bienes de uso público</w:t>
      </w:r>
      <w:r>
        <w:rPr>
          <w:rFonts w:ascii="Times New Roman" w:eastAsia="Arial" w:hAnsi="Times New Roman"/>
          <w:sz w:val="24"/>
          <w:szCs w:val="24"/>
        </w:rPr>
        <w:t xml:space="preserve"> en construcción más relevantes, con corte a la vigencia 2019:</w:t>
      </w:r>
    </w:p>
    <w:p w14:paraId="5069AA89" w14:textId="77777777" w:rsidR="006406EA" w:rsidRDefault="006406EA" w:rsidP="00AB4D08">
      <w:pPr>
        <w:spacing w:after="0" w:line="240" w:lineRule="auto"/>
        <w:ind w:left="567"/>
        <w:contextualSpacing/>
        <w:jc w:val="both"/>
        <w:rPr>
          <w:rFonts w:ascii="Times New Roman" w:eastAsia="Arial" w:hAnsi="Times New Roman"/>
          <w:sz w:val="24"/>
          <w:szCs w:val="24"/>
        </w:rPr>
      </w:pPr>
    </w:p>
    <w:p w14:paraId="4D8B4B92" w14:textId="652E9456" w:rsidR="00607469" w:rsidRDefault="006406EA" w:rsidP="00AB4D08">
      <w:pPr>
        <w:spacing w:after="0" w:line="240" w:lineRule="auto"/>
        <w:ind w:left="567"/>
        <w:contextualSpacing/>
        <w:jc w:val="both"/>
        <w:rPr>
          <w:rFonts w:ascii="Times New Roman" w:hAnsi="Times New Roman"/>
          <w:sz w:val="24"/>
          <w:szCs w:val="24"/>
        </w:rPr>
      </w:pPr>
      <w:r>
        <w:rPr>
          <w:rFonts w:ascii="Times New Roman" w:eastAsia="Arial" w:hAnsi="Times New Roman"/>
          <w:sz w:val="24"/>
          <w:szCs w:val="24"/>
        </w:rPr>
        <w:object w:dxaOrig="14986" w:dyaOrig="18418" w14:anchorId="73DEFA67">
          <v:shape id="_x0000_i1028" type="#_x0000_t75" style="width:453.05pt;height:546.8pt" o:ole="">
            <v:imagedata r:id="rId60" o:title=""/>
          </v:shape>
          <o:OLEObject Type="Embed" ProgID="Excel.Sheet.12" ShapeID="_x0000_i1028" DrawAspect="Content" ObjectID="_1643096352" r:id="rId61"/>
        </w:object>
      </w:r>
    </w:p>
    <w:p w14:paraId="16F89FB7" w14:textId="77777777" w:rsidR="00607469" w:rsidRDefault="00607469" w:rsidP="00AB4D08">
      <w:pPr>
        <w:spacing w:after="0" w:line="240" w:lineRule="auto"/>
        <w:ind w:left="567"/>
        <w:contextualSpacing/>
        <w:jc w:val="both"/>
        <w:rPr>
          <w:rFonts w:ascii="Times New Roman" w:hAnsi="Times New Roman"/>
          <w:sz w:val="24"/>
          <w:szCs w:val="24"/>
        </w:rPr>
      </w:pPr>
    </w:p>
    <w:p w14:paraId="5B13FEE7" w14:textId="77777777" w:rsidR="00607469" w:rsidRDefault="00607469" w:rsidP="00AB4D08">
      <w:pPr>
        <w:spacing w:after="0" w:line="240" w:lineRule="auto"/>
        <w:contextualSpacing/>
        <w:jc w:val="both"/>
        <w:rPr>
          <w:rFonts w:ascii="Times New Roman" w:hAnsi="Times New Roman"/>
          <w:sz w:val="24"/>
          <w:szCs w:val="24"/>
        </w:rPr>
      </w:pPr>
    </w:p>
    <w:p w14:paraId="2926D270" w14:textId="77777777" w:rsidR="00607469" w:rsidRPr="00607469" w:rsidRDefault="00607469" w:rsidP="00AB4D08">
      <w:pPr>
        <w:spacing w:after="0" w:line="240" w:lineRule="auto"/>
        <w:contextualSpacing/>
        <w:jc w:val="both"/>
        <w:rPr>
          <w:rFonts w:ascii="Times New Roman" w:hAnsi="Times New Roman"/>
          <w:sz w:val="24"/>
          <w:szCs w:val="24"/>
        </w:rPr>
      </w:pPr>
    </w:p>
    <w:p w14:paraId="608485D7" w14:textId="7041D89F" w:rsidR="00713388" w:rsidRDefault="007F1885" w:rsidP="00AB4D08">
      <w:pPr>
        <w:spacing w:after="0" w:line="240" w:lineRule="auto"/>
        <w:ind w:left="567"/>
        <w:contextualSpacing/>
        <w:jc w:val="both"/>
        <w:rPr>
          <w:rFonts w:ascii="Times New Roman" w:hAnsi="Times New Roman"/>
          <w:b/>
          <w:sz w:val="24"/>
          <w:szCs w:val="24"/>
        </w:rPr>
      </w:pPr>
      <w:r>
        <w:rPr>
          <w:rFonts w:ascii="Times New Roman" w:eastAsia="Arial" w:hAnsi="Times New Roman"/>
          <w:b/>
          <w:sz w:val="24"/>
          <w:szCs w:val="24"/>
        </w:rPr>
        <w:object w:dxaOrig="14986" w:dyaOrig="20425" w14:anchorId="560DF376">
          <v:shape id="_x0000_i1029" type="#_x0000_t75" style="width:438.8pt;height:604.55pt" o:ole="">
            <v:imagedata r:id="rId62" o:title=""/>
          </v:shape>
          <o:OLEObject Type="Embed" ProgID="Excel.Sheet.12" ShapeID="_x0000_i1029" DrawAspect="Content" ObjectID="_1643096353" r:id="rId63"/>
        </w:object>
      </w:r>
    </w:p>
    <w:p w14:paraId="048CC7A4" w14:textId="04244F2A" w:rsidR="007F1885" w:rsidRPr="002E4A43" w:rsidRDefault="007F1885"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lastRenderedPageBreak/>
        <w:t>La anterior información es suministrada por las áreas técnicas</w:t>
      </w:r>
      <w:r>
        <w:rPr>
          <w:rFonts w:ascii="Times New Roman" w:eastAsia="Arial" w:hAnsi="Times New Roman"/>
          <w:sz w:val="24"/>
          <w:szCs w:val="24"/>
        </w:rPr>
        <w:t xml:space="preserve"> del Instituto de Desarrollo Urbano - IDU</w:t>
      </w:r>
      <w:r w:rsidRPr="002E4A43">
        <w:rPr>
          <w:rFonts w:ascii="Times New Roman" w:eastAsia="Arial" w:hAnsi="Times New Roman"/>
          <w:sz w:val="24"/>
          <w:szCs w:val="24"/>
        </w:rPr>
        <w:t xml:space="preserve">, las cuales indican los porcentajes de ejecución, de acuerdo con los mecanismos de medición, desde la parte técnica de la construcción del bien de uso público. </w:t>
      </w:r>
    </w:p>
    <w:p w14:paraId="27D37FA0" w14:textId="77777777" w:rsidR="007F1885" w:rsidRPr="002E4A43" w:rsidRDefault="007F1885" w:rsidP="00AB4D08">
      <w:pPr>
        <w:spacing w:after="0" w:line="240" w:lineRule="auto"/>
        <w:ind w:left="567"/>
        <w:contextualSpacing/>
        <w:jc w:val="both"/>
        <w:rPr>
          <w:rFonts w:ascii="Times New Roman" w:eastAsia="Arial" w:hAnsi="Times New Roman"/>
          <w:sz w:val="24"/>
          <w:szCs w:val="24"/>
        </w:rPr>
      </w:pPr>
    </w:p>
    <w:p w14:paraId="77D3D492" w14:textId="77777777" w:rsidR="007F1885" w:rsidRPr="007F1885" w:rsidRDefault="007F1885" w:rsidP="00AB4D08">
      <w:pPr>
        <w:spacing w:after="0" w:line="240" w:lineRule="auto"/>
        <w:ind w:left="567"/>
        <w:contextualSpacing/>
        <w:jc w:val="both"/>
        <w:rPr>
          <w:rFonts w:ascii="Times New Roman" w:eastAsia="Arial" w:hAnsi="Times New Roman"/>
          <w:sz w:val="24"/>
          <w:szCs w:val="24"/>
        </w:rPr>
      </w:pPr>
      <w:r w:rsidRPr="007F1885">
        <w:rPr>
          <w:rFonts w:ascii="Times New Roman" w:eastAsia="Arial" w:hAnsi="Times New Roman"/>
          <w:sz w:val="24"/>
          <w:szCs w:val="24"/>
        </w:rPr>
        <w:t>Bienes de uso público en servicio</w:t>
      </w:r>
    </w:p>
    <w:p w14:paraId="148ECEC4" w14:textId="77777777" w:rsidR="007F1885" w:rsidRPr="002E4A43" w:rsidRDefault="007F1885" w:rsidP="00AB4D08">
      <w:pPr>
        <w:spacing w:after="0" w:line="240" w:lineRule="auto"/>
        <w:ind w:left="567"/>
        <w:contextualSpacing/>
        <w:jc w:val="both"/>
        <w:rPr>
          <w:rFonts w:ascii="Times New Roman" w:eastAsia="Arial" w:hAnsi="Times New Roman"/>
          <w:b/>
          <w:sz w:val="24"/>
          <w:szCs w:val="24"/>
        </w:rPr>
      </w:pPr>
    </w:p>
    <w:p w14:paraId="459EF411" w14:textId="77777777" w:rsidR="007F1885" w:rsidRDefault="007F1885"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Los bienes de uso público en servicio, se incrementaron por el traslado de los bienes en construcción puestos al servicio de la comunidad y por los costos incurridos en la rehabilitación de la malla vial arterial y local.</w:t>
      </w:r>
    </w:p>
    <w:p w14:paraId="7E061939" w14:textId="77777777" w:rsidR="007F1885" w:rsidRDefault="007F1885" w:rsidP="00AB4D08">
      <w:pPr>
        <w:spacing w:after="0" w:line="240" w:lineRule="auto"/>
        <w:ind w:left="567"/>
        <w:contextualSpacing/>
        <w:jc w:val="both"/>
        <w:rPr>
          <w:rFonts w:ascii="Times New Roman" w:eastAsia="Arial" w:hAnsi="Times New Roman"/>
          <w:sz w:val="24"/>
          <w:szCs w:val="24"/>
        </w:rPr>
      </w:pPr>
    </w:p>
    <w:p w14:paraId="4B0292DF" w14:textId="77777777" w:rsidR="007F1885" w:rsidRDefault="007F1885"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Durante la vigencia 2019 se entregaron al servicio de la comunidad, las siguientes obras:</w:t>
      </w:r>
    </w:p>
    <w:p w14:paraId="3CC955E5" w14:textId="77777777" w:rsidR="007F1885" w:rsidRDefault="007F1885" w:rsidP="00AB4D08">
      <w:pPr>
        <w:spacing w:after="0" w:line="240" w:lineRule="auto"/>
        <w:ind w:left="567"/>
        <w:contextualSpacing/>
        <w:jc w:val="both"/>
        <w:rPr>
          <w:rFonts w:ascii="Times New Roman" w:eastAsia="Arial" w:hAnsi="Times New Roman"/>
          <w:sz w:val="24"/>
          <w:szCs w:val="24"/>
        </w:rPr>
      </w:pPr>
    </w:p>
    <w:p w14:paraId="12F106B7" w14:textId="1140C097" w:rsidR="007F1885" w:rsidRDefault="007F1885" w:rsidP="00AB4D08">
      <w:pPr>
        <w:pStyle w:val="Prrafodelista"/>
        <w:numPr>
          <w:ilvl w:val="0"/>
          <w:numId w:val="42"/>
        </w:numPr>
        <w:spacing w:after="0" w:line="240" w:lineRule="auto"/>
        <w:ind w:left="1276" w:hanging="283"/>
        <w:jc w:val="both"/>
        <w:rPr>
          <w:rFonts w:ascii="Times New Roman" w:eastAsia="Arial" w:hAnsi="Times New Roman"/>
          <w:sz w:val="24"/>
          <w:szCs w:val="24"/>
        </w:rPr>
      </w:pPr>
      <w:r w:rsidRPr="004318CC">
        <w:rPr>
          <w:rFonts w:ascii="Times New Roman" w:eastAsia="Arial" w:hAnsi="Times New Roman"/>
          <w:sz w:val="24"/>
          <w:szCs w:val="24"/>
        </w:rPr>
        <w:t xml:space="preserve">Tramos faltantes Avenida Ferrocarril de Occidente (por la calzada norte - tramo comprendido entre la carrera 100 y la carrera 96 i y por la calzada sur - tramo comprendido entre la carrera 96c y la carrera 93) </w:t>
      </w:r>
    </w:p>
    <w:p w14:paraId="439B49C3" w14:textId="003CC527" w:rsidR="007F1885" w:rsidRPr="004318CC" w:rsidRDefault="004318CC" w:rsidP="00AB4D08">
      <w:pPr>
        <w:pStyle w:val="Prrafodelista"/>
        <w:numPr>
          <w:ilvl w:val="0"/>
          <w:numId w:val="42"/>
        </w:numPr>
        <w:spacing w:after="0" w:line="240" w:lineRule="auto"/>
        <w:ind w:left="1276" w:hanging="283"/>
        <w:jc w:val="both"/>
        <w:rPr>
          <w:rFonts w:ascii="Times New Roman" w:eastAsia="Arial" w:hAnsi="Times New Roman"/>
          <w:sz w:val="24"/>
          <w:szCs w:val="24"/>
        </w:rPr>
      </w:pPr>
      <w:r w:rsidRPr="004318CC">
        <w:rPr>
          <w:rFonts w:ascii="Times New Roman" w:eastAsia="Arial" w:hAnsi="Times New Roman"/>
          <w:sz w:val="24"/>
          <w:szCs w:val="24"/>
        </w:rPr>
        <w:t>Ave</w:t>
      </w:r>
      <w:r w:rsidR="007F1885" w:rsidRPr="004318CC">
        <w:rPr>
          <w:rFonts w:ascii="Times New Roman" w:eastAsia="Arial" w:hAnsi="Times New Roman"/>
          <w:sz w:val="24"/>
          <w:szCs w:val="24"/>
        </w:rPr>
        <w:t xml:space="preserve">nida Tabor desde la </w:t>
      </w:r>
      <w:r w:rsidR="004B5742" w:rsidRPr="004318CC">
        <w:rPr>
          <w:rFonts w:ascii="Times New Roman" w:eastAsia="Arial" w:hAnsi="Times New Roman"/>
          <w:sz w:val="24"/>
          <w:szCs w:val="24"/>
        </w:rPr>
        <w:t>Av.</w:t>
      </w:r>
      <w:r w:rsidR="007F1885" w:rsidRPr="004318CC">
        <w:rPr>
          <w:rFonts w:ascii="Times New Roman" w:eastAsia="Arial" w:hAnsi="Times New Roman"/>
          <w:sz w:val="24"/>
          <w:szCs w:val="24"/>
        </w:rPr>
        <w:t xml:space="preserve"> La Conejera hasta Av. Ciudad de Cali</w:t>
      </w:r>
    </w:p>
    <w:p w14:paraId="376988EB" w14:textId="77777777" w:rsidR="007F1885" w:rsidRPr="00327E23" w:rsidRDefault="007F1885" w:rsidP="00AB4D08">
      <w:pPr>
        <w:pStyle w:val="Prrafodelista"/>
        <w:numPr>
          <w:ilvl w:val="0"/>
          <w:numId w:val="42"/>
        </w:numPr>
        <w:tabs>
          <w:tab w:val="left" w:pos="1276"/>
        </w:tabs>
        <w:spacing w:after="0" w:line="240" w:lineRule="auto"/>
        <w:ind w:left="1276" w:hanging="283"/>
        <w:jc w:val="both"/>
        <w:rPr>
          <w:rFonts w:ascii="Times New Roman" w:eastAsia="Arial" w:hAnsi="Times New Roman"/>
          <w:sz w:val="24"/>
          <w:szCs w:val="24"/>
        </w:rPr>
      </w:pPr>
      <w:r>
        <w:rPr>
          <w:rFonts w:ascii="Times New Roman" w:eastAsia="Arial" w:hAnsi="Times New Roman"/>
          <w:sz w:val="24"/>
          <w:szCs w:val="24"/>
        </w:rPr>
        <w:t>Puente vehicular de Avenida San Antonio (calle 183), con Autopista N</w:t>
      </w:r>
      <w:r w:rsidRPr="007A3CD4">
        <w:rPr>
          <w:rFonts w:ascii="Times New Roman" w:eastAsia="Arial" w:hAnsi="Times New Roman"/>
          <w:sz w:val="24"/>
          <w:szCs w:val="24"/>
        </w:rPr>
        <w:t>orte, costado sur</w:t>
      </w:r>
      <w:r>
        <w:rPr>
          <w:rFonts w:ascii="Times New Roman" w:eastAsia="Arial" w:hAnsi="Times New Roman"/>
          <w:sz w:val="24"/>
          <w:szCs w:val="24"/>
        </w:rPr>
        <w:t>.</w:t>
      </w:r>
    </w:p>
    <w:p w14:paraId="6F9F1394" w14:textId="77777777" w:rsidR="004318CC" w:rsidRDefault="004318CC" w:rsidP="00AB4D08">
      <w:pPr>
        <w:spacing w:after="0" w:line="240" w:lineRule="auto"/>
        <w:ind w:left="567"/>
        <w:contextualSpacing/>
        <w:jc w:val="both"/>
        <w:rPr>
          <w:rFonts w:ascii="Times New Roman" w:eastAsia="Arial" w:hAnsi="Times New Roman"/>
          <w:sz w:val="24"/>
          <w:szCs w:val="24"/>
        </w:rPr>
      </w:pPr>
    </w:p>
    <w:p w14:paraId="015A9E09" w14:textId="77777777" w:rsidR="007F1885" w:rsidRPr="002E4A43" w:rsidRDefault="007F1885"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Los bienes de uso público en servicio son objeto de amortización por el método de línea recta de acuerdo con las vidas útiles establecidas en la política, para el caso de la malla vial arterial, local, rural y espacio público a 50 años y para los puentes tanto vehiculares como peatonales a 40 años.</w:t>
      </w:r>
    </w:p>
    <w:p w14:paraId="6BAD95A3" w14:textId="77777777" w:rsidR="007F1885" w:rsidRDefault="007F1885" w:rsidP="00AB4D08">
      <w:pPr>
        <w:spacing w:after="0" w:line="240" w:lineRule="auto"/>
        <w:ind w:left="567"/>
        <w:contextualSpacing/>
        <w:jc w:val="both"/>
        <w:rPr>
          <w:rFonts w:ascii="Times New Roman" w:hAnsi="Times New Roman"/>
          <w:b/>
          <w:sz w:val="24"/>
          <w:szCs w:val="24"/>
        </w:rPr>
      </w:pPr>
    </w:p>
    <w:p w14:paraId="50A408E4" w14:textId="3FF5E2B4" w:rsidR="00EA33DE" w:rsidRPr="00EA33DE" w:rsidRDefault="00EA33DE" w:rsidP="00AB4D08">
      <w:pPr>
        <w:spacing w:after="0" w:line="240" w:lineRule="auto"/>
        <w:ind w:left="567"/>
        <w:contextualSpacing/>
        <w:jc w:val="both"/>
        <w:rPr>
          <w:rFonts w:ascii="Times New Roman" w:hAnsi="Times New Roman"/>
          <w:sz w:val="24"/>
          <w:szCs w:val="24"/>
        </w:rPr>
      </w:pPr>
      <w:r w:rsidRPr="00EA33DE">
        <w:rPr>
          <w:rFonts w:ascii="Times New Roman" w:hAnsi="Times New Roman"/>
          <w:sz w:val="24"/>
          <w:szCs w:val="24"/>
        </w:rPr>
        <w:t xml:space="preserve">Deterioro </w:t>
      </w:r>
    </w:p>
    <w:p w14:paraId="46C04841" w14:textId="77777777" w:rsidR="00EA33DE" w:rsidRDefault="00EA33DE" w:rsidP="00AB4D08">
      <w:pPr>
        <w:spacing w:after="0" w:line="240" w:lineRule="auto"/>
        <w:ind w:left="567"/>
        <w:contextualSpacing/>
        <w:jc w:val="both"/>
        <w:rPr>
          <w:rFonts w:ascii="Times New Roman" w:eastAsia="Arial" w:hAnsi="Times New Roman"/>
          <w:sz w:val="24"/>
          <w:szCs w:val="24"/>
        </w:rPr>
      </w:pPr>
    </w:p>
    <w:p w14:paraId="0FED9379" w14:textId="12CCAA0A" w:rsidR="00EE223A" w:rsidRPr="00AA3069" w:rsidRDefault="00EA33DE" w:rsidP="00AB4D08">
      <w:pPr>
        <w:spacing w:after="0" w:line="240" w:lineRule="auto"/>
        <w:ind w:left="567"/>
        <w:contextualSpacing/>
        <w:jc w:val="both"/>
        <w:rPr>
          <w:rFonts w:ascii="Times New Roman" w:hAnsi="Times New Roman"/>
          <w:sz w:val="24"/>
          <w:szCs w:val="24"/>
        </w:rPr>
      </w:pPr>
      <w:r w:rsidRPr="002E4A43">
        <w:rPr>
          <w:rFonts w:ascii="Times New Roman" w:eastAsia="Arial" w:hAnsi="Times New Roman"/>
          <w:sz w:val="24"/>
          <w:szCs w:val="24"/>
        </w:rPr>
        <w:t>De acuerdo con el análisis realizado a los bienes de uso público de la entidad, no se identifican indicios de deterioro que den lugar a reconocer deterioro en la vigencia 2019, este análisis se realiza con relación a los valores reportados por las áreas técnicas encargadas de la medición de las vías en construcción y en servicio.</w:t>
      </w:r>
    </w:p>
    <w:p w14:paraId="1D8E3FA2" w14:textId="77777777" w:rsidR="00482270" w:rsidRDefault="00482270" w:rsidP="00AB4D08">
      <w:pPr>
        <w:spacing w:after="0" w:line="240" w:lineRule="auto"/>
        <w:contextualSpacing/>
        <w:jc w:val="center"/>
        <w:rPr>
          <w:rFonts w:ascii="Times New Roman" w:hAnsi="Times New Roman"/>
          <w:sz w:val="24"/>
          <w:szCs w:val="24"/>
        </w:rPr>
      </w:pPr>
    </w:p>
    <w:p w14:paraId="35218748" w14:textId="560816DA" w:rsidR="00620498" w:rsidRPr="00C2136E" w:rsidRDefault="001A2353" w:rsidP="00AB4D08">
      <w:pPr>
        <w:pStyle w:val="Ttulo1"/>
        <w:contextualSpacing/>
        <w:rPr>
          <w:rFonts w:cs="Times New Roman"/>
          <w:sz w:val="24"/>
          <w:szCs w:val="24"/>
        </w:rPr>
      </w:pPr>
      <w:bookmarkStart w:id="57" w:name="_Toc32317269"/>
      <w:r w:rsidRPr="00C2136E">
        <w:rPr>
          <w:rFonts w:cs="Times New Roman"/>
          <w:sz w:val="24"/>
          <w:szCs w:val="24"/>
        </w:rPr>
        <w:t>NOTA 1</w:t>
      </w:r>
      <w:r w:rsidR="001F0D65" w:rsidRPr="00C2136E">
        <w:rPr>
          <w:rFonts w:cs="Times New Roman"/>
          <w:sz w:val="24"/>
          <w:szCs w:val="24"/>
        </w:rPr>
        <w:t>4</w:t>
      </w:r>
      <w:r w:rsidRPr="00C2136E">
        <w:rPr>
          <w:rFonts w:cs="Times New Roman"/>
          <w:sz w:val="24"/>
          <w:szCs w:val="24"/>
        </w:rPr>
        <w:t>. ACTIVOS INTANGIBLES</w:t>
      </w:r>
      <w:bookmarkEnd w:id="57"/>
    </w:p>
    <w:p w14:paraId="54A7522D" w14:textId="77777777" w:rsidR="00206B30" w:rsidRPr="00C2136E" w:rsidRDefault="00206B30" w:rsidP="00AB4D08">
      <w:pPr>
        <w:spacing w:after="0" w:line="240" w:lineRule="auto"/>
        <w:contextualSpacing/>
        <w:jc w:val="both"/>
        <w:rPr>
          <w:rFonts w:ascii="Times New Roman" w:hAnsi="Times New Roman"/>
          <w:b/>
          <w:sz w:val="24"/>
          <w:szCs w:val="24"/>
        </w:rPr>
      </w:pPr>
    </w:p>
    <w:p w14:paraId="320866D5" w14:textId="6CA4D226" w:rsidR="00206B30" w:rsidRPr="00C2136E" w:rsidRDefault="00206B30" w:rsidP="00AB4D08">
      <w:pPr>
        <w:pStyle w:val="Ttulo2"/>
        <w:numPr>
          <w:ilvl w:val="0"/>
          <w:numId w:val="0"/>
        </w:numPr>
        <w:spacing w:line="240" w:lineRule="auto"/>
        <w:contextualSpacing/>
        <w:rPr>
          <w:rFonts w:cs="Times New Roman"/>
          <w:szCs w:val="24"/>
        </w:rPr>
      </w:pPr>
      <w:bookmarkStart w:id="58" w:name="_Toc32317270"/>
      <w:r w:rsidRPr="00C2136E">
        <w:rPr>
          <w:rFonts w:cs="Times New Roman"/>
          <w:szCs w:val="24"/>
        </w:rPr>
        <w:t>Composición</w:t>
      </w:r>
      <w:bookmarkEnd w:id="58"/>
    </w:p>
    <w:p w14:paraId="075DD518" w14:textId="77777777" w:rsidR="00206B30" w:rsidRPr="00C2136E" w:rsidRDefault="00206B30" w:rsidP="00AB4D08">
      <w:pPr>
        <w:spacing w:after="0" w:line="240" w:lineRule="auto"/>
        <w:contextualSpacing/>
        <w:jc w:val="both"/>
        <w:rPr>
          <w:rFonts w:ascii="Times New Roman" w:hAnsi="Times New Roman"/>
          <w:b/>
          <w:sz w:val="24"/>
          <w:szCs w:val="24"/>
        </w:rPr>
      </w:pPr>
    </w:p>
    <w:p w14:paraId="71D1FBED" w14:textId="6203E808" w:rsidR="00A47197" w:rsidRDefault="00955050" w:rsidP="00AB4D08">
      <w:pPr>
        <w:spacing w:after="0" w:line="240" w:lineRule="auto"/>
        <w:ind w:left="567"/>
        <w:contextualSpacing/>
        <w:jc w:val="both"/>
        <w:rPr>
          <w:rFonts w:ascii="Times New Roman" w:eastAsia="Arial" w:hAnsi="Times New Roman"/>
          <w:sz w:val="24"/>
          <w:szCs w:val="24"/>
        </w:rPr>
      </w:pPr>
      <w:r w:rsidRPr="00A47197">
        <w:rPr>
          <w:noProof/>
          <w:lang w:eastAsia="es-CO"/>
        </w:rPr>
        <w:drawing>
          <wp:anchor distT="0" distB="0" distL="114300" distR="114300" simplePos="0" relativeHeight="251669504" behindDoc="0" locked="0" layoutInCell="1" allowOverlap="1" wp14:anchorId="5137995F" wp14:editId="4438280A">
            <wp:simplePos x="0" y="0"/>
            <wp:positionH relativeFrom="column">
              <wp:posOffset>5715</wp:posOffset>
            </wp:positionH>
            <wp:positionV relativeFrom="paragraph">
              <wp:posOffset>532268</wp:posOffset>
            </wp:positionV>
            <wp:extent cx="5791835" cy="1003244"/>
            <wp:effectExtent l="0" t="0" r="0" b="6985"/>
            <wp:wrapThrough wrapText="bothSides">
              <wp:wrapPolygon edited="0">
                <wp:start x="0" y="0"/>
                <wp:lineTo x="0" y="21340"/>
                <wp:lineTo x="18187" y="21340"/>
                <wp:lineTo x="21527" y="20519"/>
                <wp:lineTo x="21527" y="0"/>
                <wp:lineTo x="0" y="0"/>
              </wp:wrapPolygon>
            </wp:wrapThrough>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1835" cy="1003244"/>
                    </a:xfrm>
                    <a:prstGeom prst="rect">
                      <a:avLst/>
                    </a:prstGeom>
                    <a:noFill/>
                    <a:ln>
                      <a:noFill/>
                    </a:ln>
                  </pic:spPr>
                </pic:pic>
              </a:graphicData>
            </a:graphic>
          </wp:anchor>
        </w:drawing>
      </w:r>
      <w:r w:rsidR="00A47197" w:rsidRPr="002E4A43">
        <w:rPr>
          <w:rFonts w:ascii="Times New Roman" w:eastAsia="Arial" w:hAnsi="Times New Roman"/>
          <w:sz w:val="24"/>
          <w:szCs w:val="24"/>
        </w:rPr>
        <w:t>A continuación se presenta el detalle de los activos intangib</w:t>
      </w:r>
      <w:r w:rsidR="00A47197">
        <w:rPr>
          <w:rFonts w:ascii="Times New Roman" w:eastAsia="Arial" w:hAnsi="Times New Roman"/>
          <w:sz w:val="24"/>
          <w:szCs w:val="24"/>
        </w:rPr>
        <w:t>les con corte a diciembre 31 de 2019:</w:t>
      </w:r>
    </w:p>
    <w:p w14:paraId="7BAC4C54" w14:textId="45B59437" w:rsidR="00A47197" w:rsidRDefault="00A47197" w:rsidP="00AB4D08">
      <w:pPr>
        <w:spacing w:after="0" w:line="240" w:lineRule="auto"/>
        <w:ind w:left="567"/>
        <w:contextualSpacing/>
        <w:jc w:val="both"/>
        <w:rPr>
          <w:rFonts w:ascii="Times New Roman" w:eastAsia="Arial" w:hAnsi="Times New Roman"/>
          <w:sz w:val="24"/>
          <w:szCs w:val="24"/>
        </w:rPr>
      </w:pPr>
    </w:p>
    <w:p w14:paraId="3964E2F9" w14:textId="77777777" w:rsidR="00955050" w:rsidRDefault="00955050" w:rsidP="00AB4D08">
      <w:pPr>
        <w:spacing w:after="0" w:line="240" w:lineRule="auto"/>
        <w:ind w:left="567"/>
        <w:contextualSpacing/>
        <w:jc w:val="both"/>
        <w:rPr>
          <w:rFonts w:ascii="Times New Roman" w:eastAsia="Arial" w:hAnsi="Times New Roman"/>
          <w:sz w:val="24"/>
          <w:szCs w:val="24"/>
        </w:rPr>
      </w:pPr>
    </w:p>
    <w:p w14:paraId="79753D7F" w14:textId="77777777" w:rsidR="00A47197" w:rsidRDefault="00A47197"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lastRenderedPageBreak/>
        <w:t>El incremento en el rubro de intangibles por valor de $41.210.830 obedece a las adquisiciones de software por valor de $848.812.207 menos las bajas realizadas durante la vigencia por $491.539.762 y la amortización neta registrada en el periodo por valor de $316.061.615.</w:t>
      </w:r>
    </w:p>
    <w:p w14:paraId="49521801" w14:textId="77777777" w:rsidR="00A47197" w:rsidRDefault="00A47197" w:rsidP="00AB4D08">
      <w:pPr>
        <w:spacing w:after="0" w:line="240" w:lineRule="auto"/>
        <w:ind w:left="567"/>
        <w:contextualSpacing/>
        <w:jc w:val="both"/>
        <w:rPr>
          <w:rFonts w:ascii="Times New Roman" w:eastAsia="Arial" w:hAnsi="Times New Roman"/>
          <w:sz w:val="24"/>
          <w:szCs w:val="24"/>
        </w:rPr>
      </w:pPr>
    </w:p>
    <w:p w14:paraId="676A382B" w14:textId="7893252D" w:rsidR="00A47197" w:rsidRPr="002E4A43" w:rsidRDefault="005878C2" w:rsidP="00AB4D08">
      <w:pPr>
        <w:spacing w:after="0" w:line="240" w:lineRule="auto"/>
        <w:ind w:left="567"/>
        <w:contextualSpacing/>
        <w:jc w:val="both"/>
        <w:rPr>
          <w:rFonts w:ascii="Times New Roman" w:eastAsia="Arial" w:hAnsi="Times New Roman"/>
          <w:sz w:val="24"/>
          <w:szCs w:val="24"/>
        </w:rPr>
      </w:pPr>
      <w:r w:rsidRPr="005878C2">
        <w:rPr>
          <w:noProof/>
          <w:lang w:eastAsia="es-CO"/>
        </w:rPr>
        <w:drawing>
          <wp:anchor distT="0" distB="0" distL="114300" distR="114300" simplePos="0" relativeHeight="251670528" behindDoc="0" locked="0" layoutInCell="1" allowOverlap="1" wp14:anchorId="42B7A700" wp14:editId="717376D2">
            <wp:simplePos x="0" y="0"/>
            <wp:positionH relativeFrom="column">
              <wp:posOffset>-203835</wp:posOffset>
            </wp:positionH>
            <wp:positionV relativeFrom="paragraph">
              <wp:posOffset>306070</wp:posOffset>
            </wp:positionV>
            <wp:extent cx="6337935" cy="3524250"/>
            <wp:effectExtent l="0" t="0" r="5715" b="0"/>
            <wp:wrapThrough wrapText="bothSides">
              <wp:wrapPolygon edited="0">
                <wp:start x="0" y="0"/>
                <wp:lineTo x="0" y="21483"/>
                <wp:lineTo x="18438" y="21483"/>
                <wp:lineTo x="19282" y="21366"/>
                <wp:lineTo x="21490" y="20783"/>
                <wp:lineTo x="21555" y="19732"/>
                <wp:lineTo x="21555" y="13077"/>
                <wp:lineTo x="18438" y="13077"/>
                <wp:lineTo x="21555" y="12610"/>
                <wp:lineTo x="21555" y="11442"/>
                <wp:lineTo x="21295" y="10975"/>
                <wp:lineTo x="21555" y="10275"/>
                <wp:lineTo x="21555"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793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197" w:rsidRPr="002E4A43">
        <w:rPr>
          <w:rFonts w:ascii="Times New Roman" w:eastAsia="Arial" w:hAnsi="Times New Roman"/>
          <w:sz w:val="24"/>
          <w:szCs w:val="24"/>
        </w:rPr>
        <w:t>El siguiente es el movimiento de los activos intangibles de la vigencia 2019:</w:t>
      </w:r>
    </w:p>
    <w:p w14:paraId="09FD6F19" w14:textId="77777777" w:rsidR="00955050" w:rsidRDefault="00955050" w:rsidP="00AB4D08">
      <w:pPr>
        <w:tabs>
          <w:tab w:val="left" w:pos="993"/>
        </w:tabs>
        <w:spacing w:after="0" w:line="240" w:lineRule="auto"/>
        <w:ind w:left="567"/>
        <w:contextualSpacing/>
        <w:jc w:val="both"/>
        <w:rPr>
          <w:rFonts w:ascii="Times New Roman" w:eastAsia="Arial" w:hAnsi="Times New Roman"/>
          <w:sz w:val="24"/>
          <w:szCs w:val="24"/>
        </w:rPr>
      </w:pPr>
    </w:p>
    <w:p w14:paraId="429DC704" w14:textId="77777777" w:rsidR="005878C2" w:rsidRDefault="005878C2" w:rsidP="00AB4D08">
      <w:pPr>
        <w:tabs>
          <w:tab w:val="left" w:pos="993"/>
        </w:tabs>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Las adquisiciones y adiciones por valor de $848.812.207,</w:t>
      </w:r>
      <w:r>
        <w:rPr>
          <w:rFonts w:ascii="Times New Roman" w:eastAsia="Arial" w:hAnsi="Times New Roman"/>
          <w:sz w:val="24"/>
          <w:szCs w:val="24"/>
        </w:rPr>
        <w:t xml:space="preserve"> corresponden </w:t>
      </w:r>
      <w:r w:rsidRPr="002E4A43">
        <w:rPr>
          <w:rFonts w:ascii="Times New Roman" w:eastAsia="Arial" w:hAnsi="Times New Roman"/>
          <w:sz w:val="24"/>
          <w:szCs w:val="24"/>
        </w:rPr>
        <w:t>a</w:t>
      </w:r>
      <w:r>
        <w:rPr>
          <w:rFonts w:ascii="Times New Roman" w:eastAsia="Arial" w:hAnsi="Times New Roman"/>
          <w:sz w:val="24"/>
          <w:szCs w:val="24"/>
        </w:rPr>
        <w:t>:</w:t>
      </w:r>
      <w:r w:rsidRPr="002E4A43">
        <w:rPr>
          <w:rFonts w:ascii="Times New Roman" w:eastAsia="Arial" w:hAnsi="Times New Roman"/>
          <w:sz w:val="24"/>
          <w:szCs w:val="24"/>
        </w:rPr>
        <w:t xml:space="preserve"> </w:t>
      </w:r>
    </w:p>
    <w:p w14:paraId="604D1013" w14:textId="77777777" w:rsidR="005878C2" w:rsidRDefault="005878C2" w:rsidP="00AB4D08">
      <w:pPr>
        <w:tabs>
          <w:tab w:val="left" w:pos="993"/>
        </w:tabs>
        <w:spacing w:after="0" w:line="240" w:lineRule="auto"/>
        <w:ind w:left="567"/>
        <w:contextualSpacing/>
        <w:jc w:val="both"/>
        <w:rPr>
          <w:rFonts w:ascii="Times New Roman" w:eastAsia="Arial" w:hAnsi="Times New Roman"/>
          <w:sz w:val="24"/>
          <w:szCs w:val="24"/>
        </w:rPr>
      </w:pPr>
    </w:p>
    <w:p w14:paraId="39E8B7C6" w14:textId="3A0FB15B" w:rsidR="005878C2" w:rsidRDefault="005878C2" w:rsidP="00AB4D08">
      <w:pPr>
        <w:pStyle w:val="Prrafodelista"/>
        <w:numPr>
          <w:ilvl w:val="0"/>
          <w:numId w:val="42"/>
        </w:numPr>
        <w:tabs>
          <w:tab w:val="left" w:pos="993"/>
        </w:tabs>
        <w:spacing w:after="0" w:line="240" w:lineRule="auto"/>
        <w:ind w:left="1276" w:hanging="283"/>
        <w:jc w:val="both"/>
        <w:rPr>
          <w:rFonts w:ascii="Times New Roman" w:eastAsia="Arial" w:hAnsi="Times New Roman"/>
          <w:sz w:val="24"/>
          <w:szCs w:val="24"/>
        </w:rPr>
      </w:pPr>
      <w:r w:rsidRPr="00FB1434">
        <w:rPr>
          <w:rFonts w:ascii="Times New Roman" w:eastAsia="Arial" w:hAnsi="Times New Roman"/>
          <w:sz w:val="24"/>
          <w:szCs w:val="24"/>
        </w:rPr>
        <w:t>Adquisición de software especializado que permita la gestión de permisos, seguimiento a recursos, carpetas y archivos de datos no estructurados por valor de $544.127.500</w:t>
      </w:r>
      <w:r>
        <w:rPr>
          <w:rFonts w:ascii="Times New Roman" w:eastAsia="Arial" w:hAnsi="Times New Roman"/>
          <w:sz w:val="24"/>
          <w:szCs w:val="24"/>
        </w:rPr>
        <w:t>.</w:t>
      </w:r>
    </w:p>
    <w:p w14:paraId="2FDF002C" w14:textId="77777777" w:rsidR="005878C2" w:rsidRDefault="005878C2" w:rsidP="00AB4D08">
      <w:pPr>
        <w:pStyle w:val="Prrafodelista"/>
        <w:numPr>
          <w:ilvl w:val="0"/>
          <w:numId w:val="42"/>
        </w:numPr>
        <w:tabs>
          <w:tab w:val="left" w:pos="993"/>
        </w:tabs>
        <w:spacing w:after="0" w:line="240" w:lineRule="auto"/>
        <w:ind w:left="1276" w:hanging="283"/>
        <w:jc w:val="both"/>
        <w:rPr>
          <w:rFonts w:ascii="Times New Roman" w:eastAsia="Arial" w:hAnsi="Times New Roman"/>
          <w:sz w:val="24"/>
          <w:szCs w:val="24"/>
        </w:rPr>
      </w:pPr>
      <w:r>
        <w:rPr>
          <w:rFonts w:ascii="Times New Roman" w:eastAsia="Arial" w:hAnsi="Times New Roman"/>
          <w:sz w:val="24"/>
          <w:szCs w:val="24"/>
        </w:rPr>
        <w:t>Ampliación licenciamiento de uso Sistema Kactus por $76.509.384</w:t>
      </w:r>
    </w:p>
    <w:p w14:paraId="19165847" w14:textId="72EC69CA" w:rsidR="005878C2" w:rsidRDefault="005878C2" w:rsidP="00AB4D08">
      <w:pPr>
        <w:pStyle w:val="Prrafodelista"/>
        <w:numPr>
          <w:ilvl w:val="0"/>
          <w:numId w:val="42"/>
        </w:numPr>
        <w:spacing w:after="0" w:line="240" w:lineRule="auto"/>
        <w:ind w:left="1276" w:hanging="283"/>
        <w:jc w:val="both"/>
        <w:rPr>
          <w:rFonts w:ascii="Times New Roman" w:eastAsia="Arial" w:hAnsi="Times New Roman"/>
          <w:sz w:val="24"/>
          <w:szCs w:val="24"/>
        </w:rPr>
      </w:pPr>
      <w:r>
        <w:rPr>
          <w:rFonts w:ascii="Times New Roman" w:eastAsia="Arial" w:hAnsi="Times New Roman"/>
          <w:sz w:val="24"/>
          <w:szCs w:val="24"/>
        </w:rPr>
        <w:t>Adquisición L</w:t>
      </w:r>
      <w:r w:rsidRPr="00FB1434">
        <w:rPr>
          <w:rFonts w:ascii="Times New Roman" w:eastAsia="Arial" w:hAnsi="Times New Roman"/>
          <w:sz w:val="24"/>
          <w:szCs w:val="24"/>
        </w:rPr>
        <w:t>icenciamiento DRP por $130.972.529</w:t>
      </w:r>
      <w:r>
        <w:rPr>
          <w:rFonts w:ascii="Times New Roman" w:eastAsia="Arial" w:hAnsi="Times New Roman"/>
          <w:sz w:val="24"/>
          <w:szCs w:val="24"/>
        </w:rPr>
        <w:t>.</w:t>
      </w:r>
    </w:p>
    <w:p w14:paraId="0945496E" w14:textId="52CE652F" w:rsidR="005878C2" w:rsidRPr="00955050" w:rsidRDefault="005878C2" w:rsidP="00AB4D08">
      <w:pPr>
        <w:pStyle w:val="Prrafodelista"/>
        <w:numPr>
          <w:ilvl w:val="0"/>
          <w:numId w:val="42"/>
        </w:numPr>
        <w:spacing w:after="0" w:line="240" w:lineRule="auto"/>
        <w:ind w:left="1276" w:hanging="283"/>
        <w:jc w:val="both"/>
        <w:rPr>
          <w:rFonts w:ascii="Times New Roman" w:eastAsia="Arial" w:hAnsi="Times New Roman"/>
          <w:sz w:val="24"/>
          <w:szCs w:val="24"/>
        </w:rPr>
      </w:pPr>
      <w:r w:rsidRPr="00955050">
        <w:rPr>
          <w:rFonts w:ascii="Times New Roman" w:eastAsia="Arial" w:hAnsi="Times New Roman"/>
          <w:sz w:val="24"/>
          <w:szCs w:val="24"/>
        </w:rPr>
        <w:t>Costos del desarrollo, implementación, puesta en marcha de una herramienta móvil para recolección y edición de información geográfica y alfanumérica en campo y una aplicación web para su administración por $97.202.794.</w:t>
      </w:r>
    </w:p>
    <w:p w14:paraId="382F68DD" w14:textId="35241005" w:rsidR="00A47197" w:rsidRDefault="00A47197" w:rsidP="00AB4D08">
      <w:pPr>
        <w:spacing w:after="0" w:line="240" w:lineRule="auto"/>
        <w:ind w:left="567"/>
        <w:contextualSpacing/>
        <w:jc w:val="both"/>
        <w:rPr>
          <w:rFonts w:ascii="Times New Roman" w:eastAsia="Arial" w:hAnsi="Times New Roman"/>
          <w:sz w:val="24"/>
          <w:szCs w:val="24"/>
        </w:rPr>
      </w:pPr>
    </w:p>
    <w:p w14:paraId="6C56AC4A" w14:textId="77777777" w:rsidR="00E35566" w:rsidRPr="002E4A43" w:rsidRDefault="00E35566"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Adicionalmente se realizó baja de licencias y software obsoleto y en desuso por parte de la entidad por valor de $</w:t>
      </w:r>
      <w:r>
        <w:rPr>
          <w:rFonts w:ascii="Times New Roman" w:eastAsia="Arial" w:hAnsi="Times New Roman"/>
          <w:sz w:val="24"/>
          <w:szCs w:val="24"/>
        </w:rPr>
        <w:t>491.539.762</w:t>
      </w:r>
    </w:p>
    <w:p w14:paraId="541C87C5" w14:textId="77777777" w:rsidR="00E35566" w:rsidRPr="002E4A43" w:rsidRDefault="00E35566" w:rsidP="00AB4D08">
      <w:pPr>
        <w:spacing w:after="0" w:line="240" w:lineRule="auto"/>
        <w:ind w:left="567"/>
        <w:contextualSpacing/>
        <w:jc w:val="both"/>
        <w:rPr>
          <w:rFonts w:ascii="Times New Roman" w:eastAsia="Arial" w:hAnsi="Times New Roman"/>
          <w:sz w:val="24"/>
          <w:szCs w:val="24"/>
        </w:rPr>
      </w:pPr>
    </w:p>
    <w:p w14:paraId="65917831" w14:textId="1C46A906" w:rsidR="00E35566" w:rsidRDefault="00E35566"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 xml:space="preserve">Los activos intangibles con vida útil </w:t>
      </w:r>
      <w:r w:rsidR="000C35CE">
        <w:rPr>
          <w:rFonts w:ascii="Times New Roman" w:eastAsia="Arial" w:hAnsi="Times New Roman"/>
          <w:sz w:val="24"/>
          <w:szCs w:val="24"/>
        </w:rPr>
        <w:t>indefinida</w:t>
      </w:r>
      <w:r w:rsidRPr="002E4A43">
        <w:rPr>
          <w:rFonts w:ascii="Times New Roman" w:eastAsia="Arial" w:hAnsi="Times New Roman"/>
          <w:sz w:val="24"/>
          <w:szCs w:val="24"/>
        </w:rPr>
        <w:t xml:space="preserve">, con corte </w:t>
      </w:r>
      <w:r w:rsidR="00D37C24">
        <w:rPr>
          <w:rFonts w:ascii="Times New Roman" w:eastAsia="Arial" w:hAnsi="Times New Roman"/>
          <w:sz w:val="24"/>
          <w:szCs w:val="24"/>
        </w:rPr>
        <w:t>al 31 de</w:t>
      </w:r>
      <w:r w:rsidRPr="002E4A43">
        <w:rPr>
          <w:rFonts w:ascii="Times New Roman" w:eastAsia="Arial" w:hAnsi="Times New Roman"/>
          <w:sz w:val="24"/>
          <w:szCs w:val="24"/>
        </w:rPr>
        <w:t xml:space="preserve"> diciembre de 2019, presentan un saldo por valor de $ 11.</w:t>
      </w:r>
      <w:r>
        <w:rPr>
          <w:rFonts w:ascii="Times New Roman" w:eastAsia="Arial" w:hAnsi="Times New Roman"/>
          <w:sz w:val="24"/>
          <w:szCs w:val="24"/>
        </w:rPr>
        <w:t>968.810.326</w:t>
      </w:r>
      <w:r w:rsidRPr="002E4A43">
        <w:rPr>
          <w:rFonts w:ascii="Times New Roman" w:eastAsia="Arial" w:hAnsi="Times New Roman"/>
          <w:sz w:val="24"/>
          <w:szCs w:val="24"/>
        </w:rPr>
        <w:t>, r</w:t>
      </w:r>
      <w:r w:rsidR="00D37C24">
        <w:rPr>
          <w:rFonts w:ascii="Times New Roman" w:eastAsia="Arial" w:hAnsi="Times New Roman"/>
          <w:sz w:val="24"/>
          <w:szCs w:val="24"/>
        </w:rPr>
        <w:t xml:space="preserve">epresentados principalmente en </w:t>
      </w:r>
      <w:r w:rsidR="00D37C24">
        <w:rPr>
          <w:rFonts w:ascii="Times New Roman" w:eastAsia="Arial" w:hAnsi="Times New Roman"/>
          <w:sz w:val="24"/>
          <w:szCs w:val="24"/>
        </w:rPr>
        <w:lastRenderedPageBreak/>
        <w:t xml:space="preserve">software, de acuerdo con las especificaciones técnicas estos activos no tienen un </w:t>
      </w:r>
      <w:r w:rsidR="00D37C24" w:rsidRPr="00D37C24">
        <w:rPr>
          <w:rFonts w:ascii="Times New Roman" w:eastAsia="Arial" w:hAnsi="Times New Roman"/>
          <w:sz w:val="24"/>
          <w:szCs w:val="24"/>
        </w:rPr>
        <w:t>tiempo de caducidad establecido.</w:t>
      </w:r>
    </w:p>
    <w:p w14:paraId="723C2EED" w14:textId="77777777" w:rsidR="00F41422" w:rsidRDefault="00F41422" w:rsidP="00AB4D08">
      <w:pPr>
        <w:spacing w:after="0" w:line="240" w:lineRule="auto"/>
        <w:ind w:left="567"/>
        <w:contextualSpacing/>
        <w:jc w:val="both"/>
        <w:rPr>
          <w:rFonts w:ascii="Times New Roman" w:eastAsia="Arial" w:hAnsi="Times New Roman"/>
          <w:sz w:val="24"/>
          <w:szCs w:val="24"/>
        </w:rPr>
      </w:pPr>
    </w:p>
    <w:p w14:paraId="09E13176" w14:textId="779C6A13" w:rsidR="00F41422" w:rsidRPr="002E4A43" w:rsidRDefault="00F41422" w:rsidP="00AB4D08">
      <w:pPr>
        <w:spacing w:after="0" w:line="240" w:lineRule="auto"/>
        <w:ind w:left="567"/>
        <w:contextualSpacing/>
        <w:jc w:val="both"/>
        <w:rPr>
          <w:rFonts w:ascii="Times New Roman" w:eastAsia="Arial" w:hAnsi="Times New Roman"/>
          <w:sz w:val="24"/>
          <w:szCs w:val="24"/>
        </w:rPr>
      </w:pPr>
      <w:r w:rsidRPr="00F41422">
        <w:rPr>
          <w:rFonts w:ascii="Times New Roman" w:eastAsia="Arial" w:hAnsi="Times New Roman"/>
          <w:sz w:val="24"/>
          <w:szCs w:val="24"/>
          <w:lang w:eastAsia="es-CO"/>
        </w:rPr>
        <w:object w:dxaOrig="12133" w:dyaOrig="2385" w14:anchorId="1738C2F8">
          <v:shape id="_x0000_i1030" type="#_x0000_t75" style="width:446.25pt;height:86.25pt" o:ole="">
            <v:imagedata r:id="rId66" o:title=""/>
          </v:shape>
          <o:OLEObject Type="Embed" ProgID="Excel.Sheet.12" ShapeID="_x0000_i1030" DrawAspect="Content" ObjectID="_1643096354" r:id="rId67"/>
        </w:object>
      </w:r>
    </w:p>
    <w:p w14:paraId="666EDA1F" w14:textId="0828E98A" w:rsidR="00A47197" w:rsidRPr="001D231C" w:rsidRDefault="001D231C" w:rsidP="00AB4D08">
      <w:pPr>
        <w:spacing w:after="0" w:line="240" w:lineRule="auto"/>
        <w:ind w:left="567"/>
        <w:contextualSpacing/>
        <w:jc w:val="both"/>
        <w:rPr>
          <w:rFonts w:ascii="Times New Roman" w:eastAsia="Arial" w:hAnsi="Times New Roman"/>
          <w:sz w:val="24"/>
          <w:szCs w:val="24"/>
        </w:rPr>
      </w:pPr>
      <w:r w:rsidRPr="001D231C">
        <w:rPr>
          <w:rFonts w:ascii="Times New Roman" w:eastAsia="Arial" w:hAnsi="Times New Roman"/>
          <w:sz w:val="24"/>
          <w:szCs w:val="24"/>
        </w:rPr>
        <w:t>Deterioro</w:t>
      </w:r>
    </w:p>
    <w:p w14:paraId="27EE9DD0" w14:textId="77777777" w:rsidR="001D231C" w:rsidRPr="001D231C" w:rsidRDefault="001D231C" w:rsidP="00AB4D08">
      <w:pPr>
        <w:spacing w:after="0" w:line="240" w:lineRule="auto"/>
        <w:ind w:left="567"/>
        <w:contextualSpacing/>
        <w:jc w:val="both"/>
        <w:rPr>
          <w:rFonts w:ascii="Times New Roman" w:eastAsia="Arial" w:hAnsi="Times New Roman"/>
          <w:sz w:val="24"/>
          <w:szCs w:val="24"/>
        </w:rPr>
      </w:pPr>
    </w:p>
    <w:p w14:paraId="5E6B5877" w14:textId="55859A95" w:rsidR="001D231C" w:rsidRDefault="001D231C" w:rsidP="00AB4D08">
      <w:pPr>
        <w:spacing w:after="0" w:line="240" w:lineRule="auto"/>
        <w:ind w:left="567"/>
        <w:contextualSpacing/>
        <w:jc w:val="both"/>
        <w:rPr>
          <w:rFonts w:ascii="Times New Roman" w:eastAsia="Arial" w:hAnsi="Times New Roman"/>
          <w:sz w:val="24"/>
          <w:szCs w:val="24"/>
        </w:rPr>
      </w:pPr>
      <w:r w:rsidRPr="001D231C">
        <w:rPr>
          <w:rFonts w:ascii="Times New Roman" w:eastAsia="Arial" w:hAnsi="Times New Roman"/>
          <w:sz w:val="24"/>
          <w:szCs w:val="24"/>
        </w:rPr>
        <w:t>De acuerdo con la revisión del deterioro registrado para el software a perpetuidad a diciembre de 2019, se identificó que no hay lugar a actualización de la información, por lo tanto continúa el valor de deterioro reg</w:t>
      </w:r>
      <w:r>
        <w:rPr>
          <w:rFonts w:ascii="Times New Roman" w:eastAsia="Arial" w:hAnsi="Times New Roman"/>
          <w:sz w:val="24"/>
          <w:szCs w:val="24"/>
        </w:rPr>
        <w:t>istrado en la vigencia anterior.</w:t>
      </w:r>
    </w:p>
    <w:p w14:paraId="1C9D611A" w14:textId="77777777" w:rsidR="00AE7F83" w:rsidRDefault="00AE7F83" w:rsidP="00AB4D08">
      <w:pPr>
        <w:spacing w:after="0" w:line="240" w:lineRule="auto"/>
        <w:ind w:left="567"/>
        <w:contextualSpacing/>
        <w:jc w:val="both"/>
        <w:rPr>
          <w:rFonts w:ascii="Times New Roman" w:eastAsia="Arial" w:hAnsi="Times New Roman"/>
          <w:sz w:val="24"/>
          <w:szCs w:val="24"/>
        </w:rPr>
      </w:pPr>
    </w:p>
    <w:p w14:paraId="5CA2E5CE" w14:textId="44778096" w:rsidR="00AE7F83" w:rsidRPr="001D231C" w:rsidRDefault="00AE7F83" w:rsidP="00AB4D08">
      <w:pPr>
        <w:spacing w:after="0" w:line="240" w:lineRule="auto"/>
        <w:ind w:left="567"/>
        <w:contextualSpacing/>
        <w:jc w:val="both"/>
        <w:rPr>
          <w:rFonts w:ascii="Times New Roman" w:eastAsia="Arial" w:hAnsi="Times New Roman"/>
          <w:sz w:val="24"/>
          <w:szCs w:val="24"/>
        </w:rPr>
      </w:pPr>
      <w:r w:rsidRPr="00AE7F83">
        <w:rPr>
          <w:noProof/>
          <w:lang w:eastAsia="es-CO"/>
        </w:rPr>
        <w:drawing>
          <wp:inline distT="0" distB="0" distL="0" distR="0" wp14:anchorId="73E2FDD9" wp14:editId="694628DA">
            <wp:extent cx="5791835" cy="1365836"/>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1835" cy="1365836"/>
                    </a:xfrm>
                    <a:prstGeom prst="rect">
                      <a:avLst/>
                    </a:prstGeom>
                    <a:noFill/>
                    <a:ln>
                      <a:noFill/>
                    </a:ln>
                  </pic:spPr>
                </pic:pic>
              </a:graphicData>
            </a:graphic>
          </wp:inline>
        </w:drawing>
      </w:r>
    </w:p>
    <w:p w14:paraId="6E75D7D9" w14:textId="77777777" w:rsidR="001D231C" w:rsidRPr="001D231C" w:rsidRDefault="001D231C" w:rsidP="00AB4D08">
      <w:pPr>
        <w:spacing w:after="0" w:line="240" w:lineRule="auto"/>
        <w:ind w:left="567"/>
        <w:contextualSpacing/>
        <w:jc w:val="both"/>
        <w:rPr>
          <w:rFonts w:ascii="Times New Roman" w:eastAsia="Arial" w:hAnsi="Times New Roman"/>
          <w:sz w:val="24"/>
          <w:szCs w:val="24"/>
        </w:rPr>
      </w:pPr>
    </w:p>
    <w:p w14:paraId="45B2B765" w14:textId="439A2C5B" w:rsidR="00A47197" w:rsidRPr="001D231C" w:rsidRDefault="00A47197" w:rsidP="00AB4D08">
      <w:pPr>
        <w:spacing w:after="0" w:line="240" w:lineRule="auto"/>
        <w:ind w:left="567"/>
        <w:contextualSpacing/>
        <w:jc w:val="both"/>
        <w:rPr>
          <w:rFonts w:ascii="Times New Roman" w:eastAsia="Arial" w:hAnsi="Times New Roman"/>
          <w:sz w:val="24"/>
          <w:szCs w:val="24"/>
        </w:rPr>
      </w:pPr>
    </w:p>
    <w:p w14:paraId="7A9A1F49" w14:textId="0D5D88D8" w:rsidR="002E0C1C" w:rsidRPr="009C28A8" w:rsidRDefault="00A91D6B" w:rsidP="00AB4D08">
      <w:pPr>
        <w:pStyle w:val="Ttulo1"/>
        <w:contextualSpacing/>
        <w:rPr>
          <w:rFonts w:cs="Times New Roman"/>
          <w:sz w:val="24"/>
          <w:szCs w:val="24"/>
        </w:rPr>
      </w:pPr>
      <w:bookmarkStart w:id="59" w:name="_Toc32317271"/>
      <w:r w:rsidRPr="009C28A8">
        <w:rPr>
          <w:rFonts w:cs="Times New Roman"/>
          <w:sz w:val="24"/>
          <w:szCs w:val="24"/>
        </w:rPr>
        <w:t>NOTA 2</w:t>
      </w:r>
      <w:r w:rsidR="004B51B8" w:rsidRPr="009C28A8">
        <w:rPr>
          <w:rFonts w:cs="Times New Roman"/>
          <w:sz w:val="24"/>
          <w:szCs w:val="24"/>
        </w:rPr>
        <w:t>1</w:t>
      </w:r>
      <w:r w:rsidRPr="009C28A8">
        <w:rPr>
          <w:rFonts w:cs="Times New Roman"/>
          <w:sz w:val="24"/>
          <w:szCs w:val="24"/>
        </w:rPr>
        <w:t>. CUENTAS POR PAGAR</w:t>
      </w:r>
      <w:bookmarkEnd w:id="59"/>
    </w:p>
    <w:p w14:paraId="266D88FF" w14:textId="77777777" w:rsidR="00B61CE4" w:rsidRPr="009C28A8" w:rsidRDefault="00B61CE4" w:rsidP="00AB4D08">
      <w:pPr>
        <w:spacing w:after="0" w:line="240" w:lineRule="auto"/>
        <w:contextualSpacing/>
        <w:jc w:val="both"/>
        <w:rPr>
          <w:rFonts w:ascii="Times New Roman" w:hAnsi="Times New Roman"/>
          <w:b/>
          <w:sz w:val="24"/>
          <w:szCs w:val="24"/>
        </w:rPr>
      </w:pPr>
    </w:p>
    <w:p w14:paraId="532D534F" w14:textId="23424B59" w:rsidR="00B61CE4" w:rsidRPr="009C28A8" w:rsidRDefault="00B61CE4" w:rsidP="00AB4D08">
      <w:pPr>
        <w:pStyle w:val="Ttulo2"/>
        <w:numPr>
          <w:ilvl w:val="0"/>
          <w:numId w:val="0"/>
        </w:numPr>
        <w:spacing w:line="240" w:lineRule="auto"/>
        <w:contextualSpacing/>
        <w:rPr>
          <w:rFonts w:cs="Times New Roman"/>
          <w:szCs w:val="24"/>
        </w:rPr>
      </w:pPr>
      <w:bookmarkStart w:id="60" w:name="_Toc32317272"/>
      <w:r w:rsidRPr="009C28A8">
        <w:rPr>
          <w:rFonts w:cs="Times New Roman"/>
          <w:szCs w:val="24"/>
        </w:rPr>
        <w:t>Composición</w:t>
      </w:r>
      <w:bookmarkEnd w:id="60"/>
    </w:p>
    <w:p w14:paraId="0CE1F224" w14:textId="77777777" w:rsidR="00B61CE4" w:rsidRPr="009C28A8" w:rsidRDefault="00B61CE4" w:rsidP="00AB4D08">
      <w:pPr>
        <w:spacing w:after="0" w:line="240" w:lineRule="auto"/>
        <w:contextualSpacing/>
        <w:jc w:val="both"/>
        <w:rPr>
          <w:rFonts w:ascii="Times New Roman" w:hAnsi="Times New Roman"/>
          <w:b/>
          <w:sz w:val="24"/>
          <w:szCs w:val="24"/>
        </w:rPr>
      </w:pPr>
    </w:p>
    <w:p w14:paraId="3273E837" w14:textId="00C8D420" w:rsidR="00B61CE4" w:rsidRPr="009C28A8" w:rsidRDefault="00A07674" w:rsidP="00AB4D08">
      <w:pPr>
        <w:pStyle w:val="Ttulo2"/>
        <w:numPr>
          <w:ilvl w:val="1"/>
          <w:numId w:val="7"/>
        </w:numPr>
        <w:spacing w:line="240" w:lineRule="auto"/>
        <w:ind w:left="567" w:hanging="567"/>
        <w:contextualSpacing/>
        <w:rPr>
          <w:rFonts w:cs="Times New Roman"/>
          <w:szCs w:val="24"/>
        </w:rPr>
      </w:pPr>
      <w:bookmarkStart w:id="61" w:name="_Toc32317273"/>
      <w:r>
        <w:rPr>
          <w:rFonts w:cs="Times New Roman"/>
          <w:szCs w:val="24"/>
        </w:rPr>
        <w:t>Cobro cartera terceros</w:t>
      </w:r>
      <w:bookmarkEnd w:id="61"/>
    </w:p>
    <w:p w14:paraId="4CA64674" w14:textId="77777777" w:rsidR="00A07674" w:rsidRPr="00A07674" w:rsidRDefault="00A07674" w:rsidP="00AB4D08">
      <w:pPr>
        <w:pStyle w:val="Prrafodelista"/>
        <w:spacing w:after="0" w:line="240" w:lineRule="auto"/>
        <w:ind w:left="567"/>
        <w:jc w:val="both"/>
        <w:rPr>
          <w:rFonts w:ascii="Times New Roman" w:hAnsi="Times New Roman"/>
          <w:sz w:val="24"/>
          <w:szCs w:val="24"/>
          <w:u w:val="single"/>
        </w:rPr>
      </w:pPr>
    </w:p>
    <w:p w14:paraId="0FF443AD" w14:textId="4DBE8D81" w:rsidR="00A07674" w:rsidRPr="00A07674" w:rsidRDefault="00A07674" w:rsidP="00AB4D08">
      <w:pPr>
        <w:suppressAutoHyphens/>
        <w:spacing w:line="240" w:lineRule="auto"/>
        <w:ind w:left="567"/>
        <w:contextualSpacing/>
        <w:jc w:val="both"/>
        <w:rPr>
          <w:rFonts w:ascii="Times New Roman" w:hAnsi="Times New Roman"/>
          <w:b/>
          <w:color w:val="5B9BD5" w:themeColor="accent5"/>
          <w:sz w:val="24"/>
          <w:szCs w:val="24"/>
        </w:rPr>
      </w:pPr>
      <w:r w:rsidRPr="00A07674">
        <w:rPr>
          <w:rFonts w:ascii="Times New Roman" w:hAnsi="Times New Roman"/>
          <w:color w:val="000000" w:themeColor="text1"/>
          <w:sz w:val="24"/>
          <w:szCs w:val="24"/>
        </w:rPr>
        <w:t>IDRD</w:t>
      </w:r>
      <w:r w:rsidRPr="00A07674">
        <w:rPr>
          <w:rFonts w:ascii="Times New Roman" w:hAnsi="Times New Roman"/>
          <w:b/>
          <w:color w:val="5B9BD5" w:themeColor="accent5"/>
          <w:sz w:val="24"/>
          <w:szCs w:val="24"/>
        </w:rPr>
        <w:t xml:space="preserve"> </w:t>
      </w:r>
    </w:p>
    <w:p w14:paraId="28D505B6" w14:textId="77777777" w:rsidR="00A07674" w:rsidRPr="00A07674" w:rsidRDefault="00A07674" w:rsidP="00AB4D08">
      <w:pPr>
        <w:suppressAutoHyphens/>
        <w:spacing w:line="240" w:lineRule="auto"/>
        <w:ind w:left="567"/>
        <w:contextualSpacing/>
        <w:jc w:val="both"/>
        <w:rPr>
          <w:rFonts w:ascii="Times New Roman" w:hAnsi="Times New Roman"/>
          <w:b/>
          <w:color w:val="5B9BD5" w:themeColor="accent5"/>
          <w:sz w:val="24"/>
          <w:szCs w:val="24"/>
        </w:rPr>
      </w:pPr>
    </w:p>
    <w:p w14:paraId="0F48E3FF" w14:textId="77777777" w:rsidR="00A07674" w:rsidRPr="00A07674" w:rsidRDefault="00A07674" w:rsidP="00AB4D08">
      <w:pPr>
        <w:suppressAutoHyphens/>
        <w:spacing w:line="240" w:lineRule="auto"/>
        <w:ind w:left="567"/>
        <w:contextualSpacing/>
        <w:jc w:val="both"/>
        <w:rPr>
          <w:rFonts w:ascii="Times New Roman" w:hAnsi="Times New Roman"/>
          <w:sz w:val="24"/>
          <w:szCs w:val="24"/>
        </w:rPr>
      </w:pPr>
      <w:r w:rsidRPr="00A07674">
        <w:rPr>
          <w:rFonts w:ascii="Times New Roman" w:eastAsia="Arial" w:hAnsi="Times New Roman"/>
          <w:sz w:val="24"/>
          <w:szCs w:val="24"/>
        </w:rPr>
        <w:t>Por el Acuerdo 180/05, artículo 4, parágrafo 2, corresponde a los valores recibidos para el desarrollo de obras, asignaciones, cobro y recaudo de la contribución de valorización, plenamente ejecutoriada que se deberá poner a disposición del Instituto Distrital para la Recreación y el Deporte para obras de parques, acumulado a diciembre 31 de 2019 $242.044.483</w:t>
      </w:r>
      <w:r w:rsidRPr="00A07674">
        <w:rPr>
          <w:rFonts w:ascii="Times New Roman" w:hAnsi="Times New Roman"/>
          <w:sz w:val="24"/>
          <w:szCs w:val="24"/>
        </w:rPr>
        <w:t>.</w:t>
      </w:r>
    </w:p>
    <w:p w14:paraId="7A5F6F0C" w14:textId="77777777" w:rsidR="00A07674" w:rsidRPr="00A07674" w:rsidRDefault="00A07674" w:rsidP="00AB4D08">
      <w:pPr>
        <w:suppressAutoHyphens/>
        <w:spacing w:line="240" w:lineRule="auto"/>
        <w:ind w:left="567"/>
        <w:contextualSpacing/>
        <w:jc w:val="both"/>
        <w:rPr>
          <w:rFonts w:ascii="Times New Roman" w:hAnsi="Times New Roman"/>
          <w:color w:val="000000" w:themeColor="text1"/>
          <w:sz w:val="24"/>
          <w:szCs w:val="24"/>
        </w:rPr>
      </w:pPr>
    </w:p>
    <w:p w14:paraId="3A340F27" w14:textId="77777777" w:rsidR="00A07674" w:rsidRPr="00A07674" w:rsidRDefault="00A07674" w:rsidP="00AB4D08">
      <w:pPr>
        <w:suppressAutoHyphens/>
        <w:spacing w:line="240" w:lineRule="auto"/>
        <w:ind w:left="567"/>
        <w:contextualSpacing/>
        <w:jc w:val="both"/>
        <w:rPr>
          <w:rFonts w:ascii="Times New Roman" w:eastAsia="Arial" w:hAnsi="Times New Roman"/>
          <w:sz w:val="24"/>
          <w:szCs w:val="24"/>
        </w:rPr>
      </w:pPr>
      <w:r w:rsidRPr="00A07674">
        <w:rPr>
          <w:rFonts w:ascii="Times New Roman" w:eastAsia="Arial" w:hAnsi="Times New Roman"/>
          <w:sz w:val="24"/>
          <w:szCs w:val="24"/>
        </w:rPr>
        <w:t>Por el Acuerdo 523 de 2013, el valor asignado a la zona de influencia para la construcción del parque de chapinero, el recaudo de la valorización plenamente ejecutoriada que se deberá poner a disposición del Instituto Distrital para la Recreación y el Deporte, valor acumulado a diciembre 31 de 2019 $3.501.170</w:t>
      </w:r>
    </w:p>
    <w:p w14:paraId="7A36254E" w14:textId="77777777" w:rsidR="00A07674" w:rsidRPr="00A07674" w:rsidRDefault="00A07674" w:rsidP="00AB4D08">
      <w:pPr>
        <w:suppressAutoHyphens/>
        <w:spacing w:line="240" w:lineRule="auto"/>
        <w:ind w:left="567"/>
        <w:contextualSpacing/>
        <w:jc w:val="both"/>
        <w:rPr>
          <w:rFonts w:ascii="Times New Roman" w:eastAsia="Arial" w:hAnsi="Times New Roman"/>
          <w:sz w:val="24"/>
          <w:szCs w:val="24"/>
        </w:rPr>
      </w:pPr>
    </w:p>
    <w:p w14:paraId="0A420EE2" w14:textId="77777777" w:rsidR="00A07674" w:rsidRPr="00A07674" w:rsidRDefault="00A07674" w:rsidP="00AB4D08">
      <w:pPr>
        <w:suppressAutoHyphens/>
        <w:spacing w:line="240" w:lineRule="auto"/>
        <w:ind w:left="567"/>
        <w:contextualSpacing/>
        <w:jc w:val="both"/>
        <w:rPr>
          <w:rFonts w:ascii="Times New Roman" w:eastAsia="Arial" w:hAnsi="Times New Roman"/>
          <w:sz w:val="24"/>
          <w:szCs w:val="24"/>
        </w:rPr>
      </w:pPr>
      <w:r w:rsidRPr="00A07674">
        <w:rPr>
          <w:rFonts w:ascii="Times New Roman" w:eastAsia="Arial" w:hAnsi="Times New Roman"/>
          <w:sz w:val="24"/>
          <w:szCs w:val="24"/>
        </w:rPr>
        <w:lastRenderedPageBreak/>
        <w:t>Resultado del proceso de depuración de saldos a favor de contribuyentes, por el Acuerdo 180 Fase II, se genera para el IDRD, en aplicación:</w:t>
      </w:r>
    </w:p>
    <w:p w14:paraId="2341BD29" w14:textId="77777777" w:rsidR="00A07674" w:rsidRPr="00A07674" w:rsidRDefault="00A07674" w:rsidP="00AB4D08">
      <w:pPr>
        <w:suppressAutoHyphens/>
        <w:spacing w:line="240" w:lineRule="auto"/>
        <w:ind w:left="567"/>
        <w:contextualSpacing/>
        <w:jc w:val="both"/>
        <w:rPr>
          <w:rFonts w:ascii="Times New Roman" w:eastAsia="Arial" w:hAnsi="Times New Roman"/>
          <w:sz w:val="24"/>
          <w:szCs w:val="24"/>
        </w:rPr>
      </w:pPr>
    </w:p>
    <w:p w14:paraId="2C028531" w14:textId="77777777" w:rsidR="00A07674" w:rsidRPr="00A07674" w:rsidRDefault="00A07674" w:rsidP="00AB4D08">
      <w:pPr>
        <w:suppressAutoHyphens/>
        <w:spacing w:line="240" w:lineRule="auto"/>
        <w:ind w:left="567"/>
        <w:contextualSpacing/>
        <w:jc w:val="both"/>
        <w:rPr>
          <w:rFonts w:ascii="Times New Roman" w:eastAsia="Arial" w:hAnsi="Times New Roman"/>
          <w:sz w:val="24"/>
          <w:szCs w:val="24"/>
        </w:rPr>
      </w:pPr>
      <w:r w:rsidRPr="00A07674">
        <w:rPr>
          <w:rFonts w:ascii="Times New Roman" w:eastAsia="Arial" w:hAnsi="Times New Roman"/>
          <w:sz w:val="24"/>
          <w:szCs w:val="24"/>
        </w:rPr>
        <w:t>Resolución 1027-2017 $2.842.855.806</w:t>
      </w:r>
    </w:p>
    <w:p w14:paraId="189A0E7B" w14:textId="19960A7E" w:rsidR="00A07674" w:rsidRDefault="00A07674" w:rsidP="00DD475B">
      <w:pPr>
        <w:suppressAutoHyphens/>
        <w:spacing w:line="240" w:lineRule="auto"/>
        <w:ind w:left="567"/>
        <w:contextualSpacing/>
        <w:jc w:val="both"/>
        <w:rPr>
          <w:rFonts w:ascii="Times New Roman" w:eastAsia="Arial" w:hAnsi="Times New Roman"/>
          <w:sz w:val="24"/>
          <w:szCs w:val="24"/>
        </w:rPr>
      </w:pPr>
      <w:r w:rsidRPr="00A07674">
        <w:rPr>
          <w:rFonts w:ascii="Times New Roman" w:eastAsia="Arial" w:hAnsi="Times New Roman"/>
          <w:sz w:val="24"/>
          <w:szCs w:val="24"/>
        </w:rPr>
        <w:t>Resolución 6079-2017 $1.108.504.108</w:t>
      </w:r>
    </w:p>
    <w:p w14:paraId="2C1D3BF9" w14:textId="77777777" w:rsidR="00DD475B" w:rsidRDefault="00DD475B" w:rsidP="00DD475B">
      <w:pPr>
        <w:suppressAutoHyphens/>
        <w:spacing w:line="240" w:lineRule="auto"/>
        <w:ind w:left="567"/>
        <w:contextualSpacing/>
        <w:jc w:val="both"/>
        <w:rPr>
          <w:rFonts w:ascii="Times New Roman" w:hAnsi="Times New Roman"/>
          <w:sz w:val="24"/>
          <w:szCs w:val="24"/>
          <w:u w:val="single"/>
        </w:rPr>
      </w:pPr>
    </w:p>
    <w:p w14:paraId="0B9F0769" w14:textId="311FC2D9" w:rsidR="00A07674" w:rsidRPr="009C28A8" w:rsidRDefault="00A07674" w:rsidP="00AB4D08">
      <w:pPr>
        <w:pStyle w:val="Ttulo2"/>
        <w:numPr>
          <w:ilvl w:val="1"/>
          <w:numId w:val="7"/>
        </w:numPr>
        <w:spacing w:line="240" w:lineRule="auto"/>
        <w:ind w:left="567" w:hanging="567"/>
        <w:contextualSpacing/>
        <w:rPr>
          <w:rFonts w:cs="Times New Roman"/>
          <w:szCs w:val="24"/>
        </w:rPr>
      </w:pPr>
      <w:bookmarkStart w:id="62" w:name="_Toc32317274"/>
      <w:r>
        <w:rPr>
          <w:rFonts w:cs="Times New Roman"/>
          <w:szCs w:val="24"/>
        </w:rPr>
        <w:t>Saldo a favor de contribuyentes</w:t>
      </w:r>
      <w:bookmarkEnd w:id="62"/>
    </w:p>
    <w:p w14:paraId="2247768A" w14:textId="77777777" w:rsidR="00A07674" w:rsidRDefault="00A07674" w:rsidP="00AB4D08">
      <w:pPr>
        <w:pStyle w:val="Prrafodelista"/>
        <w:spacing w:after="0" w:line="240" w:lineRule="auto"/>
        <w:ind w:left="567"/>
        <w:jc w:val="both"/>
        <w:rPr>
          <w:rFonts w:ascii="Times New Roman" w:hAnsi="Times New Roman"/>
          <w:sz w:val="24"/>
          <w:szCs w:val="24"/>
          <w:u w:val="single"/>
        </w:rPr>
      </w:pPr>
    </w:p>
    <w:p w14:paraId="3F467B9B" w14:textId="1EC82E66" w:rsidR="00A07674" w:rsidRPr="00A07674" w:rsidRDefault="00A07674" w:rsidP="00AB4D08">
      <w:pPr>
        <w:pStyle w:val="Prrafodelista"/>
        <w:spacing w:after="0" w:line="240" w:lineRule="auto"/>
        <w:ind w:left="567"/>
        <w:jc w:val="both"/>
        <w:rPr>
          <w:rFonts w:ascii="Times New Roman" w:hAnsi="Times New Roman"/>
          <w:sz w:val="24"/>
          <w:szCs w:val="24"/>
          <w:u w:val="single"/>
        </w:rPr>
      </w:pPr>
      <w:r w:rsidRPr="00A07674">
        <w:rPr>
          <w:rFonts w:ascii="Times New Roman" w:eastAsia="Arial" w:hAnsi="Times New Roman"/>
          <w:sz w:val="24"/>
          <w:szCs w:val="24"/>
        </w:rPr>
        <w:t>Representa el 2% de las cuentas por pagar, al 31 de di</w:t>
      </w:r>
      <w:r>
        <w:rPr>
          <w:rFonts w:ascii="Times New Roman" w:eastAsia="Arial" w:hAnsi="Times New Roman"/>
          <w:sz w:val="24"/>
          <w:szCs w:val="24"/>
        </w:rPr>
        <w:t>ciembre de 2019, por valor de $</w:t>
      </w:r>
      <w:r w:rsidRPr="00A07674">
        <w:rPr>
          <w:rFonts w:ascii="Times New Roman" w:eastAsia="Arial" w:hAnsi="Times New Roman"/>
          <w:sz w:val="24"/>
          <w:szCs w:val="24"/>
        </w:rPr>
        <w:t xml:space="preserve">4.412.582.430, corresponde a los saldos a favor de contribuyentes por concepto de contribuciones de Valorización que fueron asignadas y recaudadas, ejecutoriadas y con reclamación fallada a favor de los contribuyentes y que no han sido cobradas, y a los saldos generados, de conformidad a lo establecido en el Acuerdo 523 del 8 de julio de 2013, el cual establece en el parágrafo 3 del artículo 2. “Una vez sancionado el presente Acuerdo, cesan los efectos jurídicos generados como consecuencia de la asignación, notificación y cobro de la contribución de valorización de la Fase II, del Acuerdo 180 de 2005…”, modifica parcialmente los Acuerdos 180 de 2005 Fase I, y sus acuerdos modificatorios 398 de 2009, y modifica y suspende el Acuerdo 451 de 2010 </w:t>
      </w:r>
      <w:proofErr w:type="spellStart"/>
      <w:r w:rsidRPr="00A07674">
        <w:rPr>
          <w:rFonts w:ascii="Times New Roman" w:eastAsia="Arial" w:hAnsi="Times New Roman"/>
          <w:sz w:val="24"/>
          <w:szCs w:val="24"/>
        </w:rPr>
        <w:t>Poz</w:t>
      </w:r>
      <w:proofErr w:type="spellEnd"/>
      <w:r w:rsidRPr="00A07674">
        <w:rPr>
          <w:rFonts w:ascii="Times New Roman" w:eastAsia="Arial" w:hAnsi="Times New Roman"/>
          <w:sz w:val="24"/>
          <w:szCs w:val="24"/>
        </w:rPr>
        <w:t>-Norte.</w:t>
      </w:r>
    </w:p>
    <w:p w14:paraId="0E00B4EA" w14:textId="77777777" w:rsidR="00A07674" w:rsidRDefault="00A07674" w:rsidP="00AB4D08">
      <w:pPr>
        <w:pStyle w:val="Prrafodelista"/>
        <w:spacing w:after="0" w:line="240" w:lineRule="auto"/>
        <w:ind w:left="567"/>
        <w:jc w:val="both"/>
        <w:rPr>
          <w:rFonts w:ascii="Times New Roman" w:hAnsi="Times New Roman"/>
          <w:sz w:val="24"/>
          <w:szCs w:val="24"/>
          <w:u w:val="single"/>
        </w:rPr>
      </w:pPr>
    </w:p>
    <w:p w14:paraId="207EFB6F" w14:textId="44B02D19" w:rsidR="009C0EB6" w:rsidRDefault="009C0EB6" w:rsidP="00AB4D08">
      <w:pPr>
        <w:pStyle w:val="Prrafodelista"/>
        <w:spacing w:after="0" w:line="240" w:lineRule="auto"/>
        <w:ind w:left="567"/>
        <w:jc w:val="both"/>
        <w:rPr>
          <w:rFonts w:ascii="Times New Roman" w:hAnsi="Times New Roman"/>
          <w:sz w:val="24"/>
          <w:szCs w:val="24"/>
        </w:rPr>
      </w:pPr>
      <w:r w:rsidRPr="009C0EB6">
        <w:rPr>
          <w:rFonts w:ascii="Times New Roman" w:hAnsi="Times New Roman"/>
          <w:sz w:val="24"/>
          <w:szCs w:val="24"/>
        </w:rPr>
        <w:t>Saldos a favor de contribuyentes, con corte al 31 de diciembre de 2019:</w:t>
      </w:r>
    </w:p>
    <w:p w14:paraId="4B3E069F" w14:textId="77777777" w:rsidR="00ED36F3" w:rsidRDefault="00ED36F3" w:rsidP="00AB4D08">
      <w:pPr>
        <w:pStyle w:val="Prrafodelista"/>
        <w:spacing w:after="0" w:line="240" w:lineRule="auto"/>
        <w:ind w:left="567"/>
        <w:jc w:val="both"/>
        <w:rPr>
          <w:rFonts w:ascii="Times New Roman" w:hAnsi="Times New Roman"/>
          <w:sz w:val="24"/>
          <w:szCs w:val="24"/>
        </w:rPr>
      </w:pPr>
    </w:p>
    <w:tbl>
      <w:tblPr>
        <w:tblW w:w="7418" w:type="dxa"/>
        <w:tblInd w:w="764" w:type="dxa"/>
        <w:tblCellMar>
          <w:left w:w="70" w:type="dxa"/>
          <w:right w:w="70" w:type="dxa"/>
        </w:tblCellMar>
        <w:tblLook w:val="04A0" w:firstRow="1" w:lastRow="0" w:firstColumn="1" w:lastColumn="0" w:noHBand="0" w:noVBand="1"/>
      </w:tblPr>
      <w:tblGrid>
        <w:gridCol w:w="2800"/>
        <w:gridCol w:w="1480"/>
        <w:gridCol w:w="520"/>
        <w:gridCol w:w="1300"/>
        <w:gridCol w:w="1318"/>
      </w:tblGrid>
      <w:tr w:rsidR="00ED36F3" w:rsidRPr="00ED36F3" w14:paraId="2548202C" w14:textId="77777777" w:rsidTr="00ED36F3">
        <w:trPr>
          <w:trHeight w:val="255"/>
        </w:trPr>
        <w:tc>
          <w:tcPr>
            <w:tcW w:w="28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0A088"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CUENTA</w:t>
            </w:r>
          </w:p>
        </w:tc>
        <w:tc>
          <w:tcPr>
            <w:tcW w:w="1480" w:type="dxa"/>
            <w:tcBorders>
              <w:top w:val="single" w:sz="4" w:space="0" w:color="auto"/>
              <w:left w:val="nil"/>
              <w:bottom w:val="single" w:sz="4" w:space="0" w:color="auto"/>
              <w:right w:val="single" w:sz="4" w:space="0" w:color="auto"/>
            </w:tcBorders>
            <w:shd w:val="clear" w:color="000000" w:fill="D9D9D9"/>
            <w:noWrap/>
            <w:vAlign w:val="center"/>
            <w:hideMark/>
          </w:tcPr>
          <w:p w14:paraId="185B36E8"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2019</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7E563047"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w:t>
            </w: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4B87175E"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2.018</w:t>
            </w:r>
          </w:p>
        </w:tc>
        <w:tc>
          <w:tcPr>
            <w:tcW w:w="1318" w:type="dxa"/>
            <w:tcBorders>
              <w:top w:val="single" w:sz="4" w:space="0" w:color="auto"/>
              <w:left w:val="nil"/>
              <w:bottom w:val="single" w:sz="4" w:space="0" w:color="auto"/>
              <w:right w:val="single" w:sz="4" w:space="0" w:color="auto"/>
            </w:tcBorders>
            <w:shd w:val="clear" w:color="000000" w:fill="D9D9D9"/>
            <w:noWrap/>
            <w:vAlign w:val="center"/>
            <w:hideMark/>
          </w:tcPr>
          <w:p w14:paraId="1898497E"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VARIACION</w:t>
            </w:r>
          </w:p>
        </w:tc>
      </w:tr>
      <w:tr w:rsidR="00ED36F3" w:rsidRPr="00ED36F3" w14:paraId="03D8E4B4"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5B06F0B4"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180/08- IDU</w:t>
            </w:r>
          </w:p>
        </w:tc>
        <w:tc>
          <w:tcPr>
            <w:tcW w:w="1480" w:type="dxa"/>
            <w:tcBorders>
              <w:top w:val="nil"/>
              <w:left w:val="single" w:sz="4" w:space="0" w:color="auto"/>
              <w:bottom w:val="nil"/>
              <w:right w:val="single" w:sz="4" w:space="0" w:color="auto"/>
            </w:tcBorders>
            <w:shd w:val="clear" w:color="000000" w:fill="FFFFFF"/>
            <w:noWrap/>
            <w:vAlign w:val="center"/>
            <w:hideMark/>
          </w:tcPr>
          <w:p w14:paraId="344D167D"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2.134.346.432</w:t>
            </w:r>
          </w:p>
        </w:tc>
        <w:tc>
          <w:tcPr>
            <w:tcW w:w="520" w:type="dxa"/>
            <w:tcBorders>
              <w:top w:val="nil"/>
              <w:left w:val="nil"/>
              <w:bottom w:val="nil"/>
              <w:right w:val="nil"/>
            </w:tcBorders>
            <w:shd w:val="clear" w:color="auto" w:fill="auto"/>
            <w:noWrap/>
            <w:vAlign w:val="center"/>
            <w:hideMark/>
          </w:tcPr>
          <w:p w14:paraId="0C647EDF"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48</w:t>
            </w:r>
          </w:p>
        </w:tc>
        <w:tc>
          <w:tcPr>
            <w:tcW w:w="1300" w:type="dxa"/>
            <w:tcBorders>
              <w:top w:val="nil"/>
              <w:left w:val="single" w:sz="4" w:space="0" w:color="auto"/>
              <w:bottom w:val="nil"/>
              <w:right w:val="single" w:sz="4" w:space="0" w:color="auto"/>
            </w:tcBorders>
            <w:shd w:val="clear" w:color="000000" w:fill="FFFFFF"/>
            <w:noWrap/>
            <w:vAlign w:val="center"/>
            <w:hideMark/>
          </w:tcPr>
          <w:p w14:paraId="0663F31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2.204.315.044</w:t>
            </w:r>
          </w:p>
        </w:tc>
        <w:tc>
          <w:tcPr>
            <w:tcW w:w="1318" w:type="dxa"/>
            <w:tcBorders>
              <w:top w:val="nil"/>
              <w:left w:val="nil"/>
              <w:bottom w:val="nil"/>
              <w:right w:val="single" w:sz="4" w:space="0" w:color="auto"/>
            </w:tcBorders>
            <w:shd w:val="clear" w:color="000000" w:fill="FFFFFF"/>
            <w:noWrap/>
            <w:vAlign w:val="center"/>
            <w:hideMark/>
          </w:tcPr>
          <w:p w14:paraId="4371E7DD"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69.968.611</w:t>
            </w:r>
          </w:p>
        </w:tc>
      </w:tr>
      <w:tr w:rsidR="00ED36F3" w:rsidRPr="00ED36F3" w14:paraId="5CDEF99D"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32CA7195"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180/05- IDRD.</w:t>
            </w:r>
          </w:p>
        </w:tc>
        <w:tc>
          <w:tcPr>
            <w:tcW w:w="1480" w:type="dxa"/>
            <w:tcBorders>
              <w:top w:val="nil"/>
              <w:left w:val="single" w:sz="4" w:space="0" w:color="auto"/>
              <w:bottom w:val="nil"/>
              <w:right w:val="single" w:sz="4" w:space="0" w:color="auto"/>
            </w:tcBorders>
            <w:shd w:val="clear" w:color="000000" w:fill="FFFFFF"/>
            <w:noWrap/>
            <w:vAlign w:val="center"/>
            <w:hideMark/>
          </w:tcPr>
          <w:p w14:paraId="1B7430B5"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143.800.883</w:t>
            </w:r>
          </w:p>
        </w:tc>
        <w:tc>
          <w:tcPr>
            <w:tcW w:w="520" w:type="dxa"/>
            <w:tcBorders>
              <w:top w:val="nil"/>
              <w:left w:val="nil"/>
              <w:bottom w:val="nil"/>
              <w:right w:val="nil"/>
            </w:tcBorders>
            <w:shd w:val="clear" w:color="auto" w:fill="auto"/>
            <w:noWrap/>
            <w:vAlign w:val="center"/>
            <w:hideMark/>
          </w:tcPr>
          <w:p w14:paraId="537D3F7B"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w:t>
            </w:r>
          </w:p>
        </w:tc>
        <w:tc>
          <w:tcPr>
            <w:tcW w:w="1300" w:type="dxa"/>
            <w:tcBorders>
              <w:top w:val="nil"/>
              <w:left w:val="single" w:sz="4" w:space="0" w:color="auto"/>
              <w:bottom w:val="nil"/>
              <w:right w:val="single" w:sz="4" w:space="0" w:color="auto"/>
            </w:tcBorders>
            <w:shd w:val="clear" w:color="000000" w:fill="FFFFFF"/>
            <w:noWrap/>
            <w:vAlign w:val="center"/>
            <w:hideMark/>
          </w:tcPr>
          <w:p w14:paraId="06F9469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143.666.004</w:t>
            </w:r>
          </w:p>
        </w:tc>
        <w:tc>
          <w:tcPr>
            <w:tcW w:w="1318" w:type="dxa"/>
            <w:tcBorders>
              <w:top w:val="nil"/>
              <w:left w:val="nil"/>
              <w:bottom w:val="nil"/>
              <w:right w:val="single" w:sz="4" w:space="0" w:color="auto"/>
            </w:tcBorders>
            <w:shd w:val="clear" w:color="000000" w:fill="FFFFFF"/>
            <w:noWrap/>
            <w:vAlign w:val="center"/>
            <w:hideMark/>
          </w:tcPr>
          <w:p w14:paraId="241536AB"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-134.879</w:t>
            </w:r>
          </w:p>
        </w:tc>
      </w:tr>
      <w:tr w:rsidR="00ED36F3" w:rsidRPr="00ED36F3" w14:paraId="440E4C2E"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711ADE6A"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724/2018</w:t>
            </w:r>
          </w:p>
        </w:tc>
        <w:tc>
          <w:tcPr>
            <w:tcW w:w="1480" w:type="dxa"/>
            <w:tcBorders>
              <w:top w:val="nil"/>
              <w:left w:val="single" w:sz="4" w:space="0" w:color="auto"/>
              <w:bottom w:val="nil"/>
              <w:right w:val="single" w:sz="4" w:space="0" w:color="auto"/>
            </w:tcBorders>
            <w:shd w:val="clear" w:color="000000" w:fill="FFFFFF"/>
            <w:noWrap/>
            <w:vAlign w:val="center"/>
            <w:hideMark/>
          </w:tcPr>
          <w:p w14:paraId="2ED3754E"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349.745.472</w:t>
            </w:r>
          </w:p>
        </w:tc>
        <w:tc>
          <w:tcPr>
            <w:tcW w:w="520" w:type="dxa"/>
            <w:tcBorders>
              <w:top w:val="nil"/>
              <w:left w:val="nil"/>
              <w:bottom w:val="nil"/>
              <w:right w:val="nil"/>
            </w:tcBorders>
            <w:shd w:val="clear" w:color="auto" w:fill="auto"/>
            <w:noWrap/>
            <w:vAlign w:val="center"/>
            <w:hideMark/>
          </w:tcPr>
          <w:p w14:paraId="0148014A"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w:t>
            </w:r>
          </w:p>
        </w:tc>
        <w:tc>
          <w:tcPr>
            <w:tcW w:w="1300" w:type="dxa"/>
            <w:tcBorders>
              <w:top w:val="nil"/>
              <w:left w:val="single" w:sz="4" w:space="0" w:color="auto"/>
              <w:bottom w:val="nil"/>
              <w:right w:val="single" w:sz="4" w:space="0" w:color="auto"/>
            </w:tcBorders>
            <w:shd w:val="clear" w:color="000000" w:fill="FFFFFF"/>
            <w:noWrap/>
            <w:vAlign w:val="center"/>
            <w:hideMark/>
          </w:tcPr>
          <w:p w14:paraId="42662017"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0</w:t>
            </w:r>
          </w:p>
        </w:tc>
        <w:tc>
          <w:tcPr>
            <w:tcW w:w="1318" w:type="dxa"/>
            <w:tcBorders>
              <w:top w:val="nil"/>
              <w:left w:val="nil"/>
              <w:bottom w:val="nil"/>
              <w:right w:val="single" w:sz="4" w:space="0" w:color="auto"/>
            </w:tcBorders>
            <w:shd w:val="clear" w:color="000000" w:fill="FFFFFF"/>
            <w:noWrap/>
            <w:vAlign w:val="center"/>
            <w:hideMark/>
          </w:tcPr>
          <w:p w14:paraId="62E9F2A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-349.745.472</w:t>
            </w:r>
          </w:p>
        </w:tc>
      </w:tr>
      <w:tr w:rsidR="00ED36F3" w:rsidRPr="00ED36F3" w14:paraId="0BFB4632"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738D48F0"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Beneficio general</w:t>
            </w:r>
          </w:p>
        </w:tc>
        <w:tc>
          <w:tcPr>
            <w:tcW w:w="1480" w:type="dxa"/>
            <w:tcBorders>
              <w:top w:val="nil"/>
              <w:left w:val="single" w:sz="4" w:space="0" w:color="auto"/>
              <w:bottom w:val="nil"/>
              <w:right w:val="single" w:sz="4" w:space="0" w:color="auto"/>
            </w:tcBorders>
            <w:shd w:val="clear" w:color="000000" w:fill="FFFFFF"/>
            <w:noWrap/>
            <w:vAlign w:val="center"/>
            <w:hideMark/>
          </w:tcPr>
          <w:p w14:paraId="0E34234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86.711.718</w:t>
            </w:r>
          </w:p>
        </w:tc>
        <w:tc>
          <w:tcPr>
            <w:tcW w:w="520" w:type="dxa"/>
            <w:tcBorders>
              <w:top w:val="nil"/>
              <w:left w:val="nil"/>
              <w:bottom w:val="nil"/>
              <w:right w:val="nil"/>
            </w:tcBorders>
            <w:shd w:val="clear" w:color="auto" w:fill="auto"/>
            <w:noWrap/>
            <w:vAlign w:val="center"/>
            <w:hideMark/>
          </w:tcPr>
          <w:p w14:paraId="013A8A5B"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2</w:t>
            </w:r>
          </w:p>
        </w:tc>
        <w:tc>
          <w:tcPr>
            <w:tcW w:w="1300" w:type="dxa"/>
            <w:tcBorders>
              <w:top w:val="nil"/>
              <w:left w:val="single" w:sz="4" w:space="0" w:color="auto"/>
              <w:bottom w:val="nil"/>
              <w:right w:val="single" w:sz="4" w:space="0" w:color="auto"/>
            </w:tcBorders>
            <w:shd w:val="clear" w:color="000000" w:fill="FFFFFF"/>
            <w:noWrap/>
            <w:vAlign w:val="center"/>
            <w:hideMark/>
          </w:tcPr>
          <w:p w14:paraId="3DDA689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184.228.718</w:t>
            </w:r>
          </w:p>
        </w:tc>
        <w:tc>
          <w:tcPr>
            <w:tcW w:w="1318" w:type="dxa"/>
            <w:tcBorders>
              <w:top w:val="nil"/>
              <w:left w:val="nil"/>
              <w:bottom w:val="nil"/>
              <w:right w:val="single" w:sz="4" w:space="0" w:color="auto"/>
            </w:tcBorders>
            <w:shd w:val="clear" w:color="000000" w:fill="FFFFFF"/>
            <w:noWrap/>
            <w:vAlign w:val="center"/>
            <w:hideMark/>
          </w:tcPr>
          <w:p w14:paraId="7EEAACFC"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97.517.000</w:t>
            </w:r>
          </w:p>
        </w:tc>
      </w:tr>
      <w:tr w:rsidR="00ED36F3" w:rsidRPr="00ED36F3" w14:paraId="3B4CD1ED"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41C0AF60"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23- Ciudad salitre</w:t>
            </w:r>
          </w:p>
        </w:tc>
        <w:tc>
          <w:tcPr>
            <w:tcW w:w="1480" w:type="dxa"/>
            <w:tcBorders>
              <w:top w:val="nil"/>
              <w:left w:val="single" w:sz="4" w:space="0" w:color="auto"/>
              <w:bottom w:val="nil"/>
              <w:right w:val="single" w:sz="4" w:space="0" w:color="auto"/>
            </w:tcBorders>
            <w:shd w:val="clear" w:color="000000" w:fill="FFFFFF"/>
            <w:noWrap/>
            <w:vAlign w:val="center"/>
            <w:hideMark/>
          </w:tcPr>
          <w:p w14:paraId="1814CD18"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1.905.000</w:t>
            </w:r>
          </w:p>
        </w:tc>
        <w:tc>
          <w:tcPr>
            <w:tcW w:w="520" w:type="dxa"/>
            <w:tcBorders>
              <w:top w:val="nil"/>
              <w:left w:val="nil"/>
              <w:bottom w:val="nil"/>
              <w:right w:val="nil"/>
            </w:tcBorders>
            <w:shd w:val="clear" w:color="auto" w:fill="auto"/>
            <w:noWrap/>
            <w:vAlign w:val="center"/>
            <w:hideMark/>
          </w:tcPr>
          <w:p w14:paraId="710CD5AD"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0</w:t>
            </w:r>
          </w:p>
        </w:tc>
        <w:tc>
          <w:tcPr>
            <w:tcW w:w="1300" w:type="dxa"/>
            <w:tcBorders>
              <w:top w:val="nil"/>
              <w:left w:val="single" w:sz="4" w:space="0" w:color="auto"/>
              <w:bottom w:val="nil"/>
              <w:right w:val="single" w:sz="4" w:space="0" w:color="auto"/>
            </w:tcBorders>
            <w:shd w:val="clear" w:color="000000" w:fill="FFFFFF"/>
            <w:noWrap/>
            <w:vAlign w:val="center"/>
            <w:hideMark/>
          </w:tcPr>
          <w:p w14:paraId="146E446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8.385.358</w:t>
            </w:r>
          </w:p>
        </w:tc>
        <w:tc>
          <w:tcPr>
            <w:tcW w:w="1318" w:type="dxa"/>
            <w:tcBorders>
              <w:top w:val="nil"/>
              <w:left w:val="nil"/>
              <w:bottom w:val="nil"/>
              <w:right w:val="single" w:sz="4" w:space="0" w:color="auto"/>
            </w:tcBorders>
            <w:shd w:val="clear" w:color="000000" w:fill="FFFFFF"/>
            <w:noWrap/>
            <w:vAlign w:val="center"/>
            <w:hideMark/>
          </w:tcPr>
          <w:p w14:paraId="65424B3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6.480.358</w:t>
            </w:r>
          </w:p>
        </w:tc>
      </w:tr>
      <w:tr w:rsidR="00ED36F3" w:rsidRPr="00ED36F3" w14:paraId="5E196086"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0D1E537B"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25/95 beneficio local</w:t>
            </w:r>
          </w:p>
        </w:tc>
        <w:tc>
          <w:tcPr>
            <w:tcW w:w="1480" w:type="dxa"/>
            <w:tcBorders>
              <w:top w:val="nil"/>
              <w:left w:val="single" w:sz="4" w:space="0" w:color="auto"/>
              <w:bottom w:val="nil"/>
              <w:right w:val="single" w:sz="4" w:space="0" w:color="auto"/>
            </w:tcBorders>
            <w:shd w:val="clear" w:color="000000" w:fill="FFFFFF"/>
            <w:noWrap/>
            <w:vAlign w:val="center"/>
            <w:hideMark/>
          </w:tcPr>
          <w:p w14:paraId="5F755C1D"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384.123.617</w:t>
            </w:r>
          </w:p>
        </w:tc>
        <w:tc>
          <w:tcPr>
            <w:tcW w:w="520" w:type="dxa"/>
            <w:tcBorders>
              <w:top w:val="nil"/>
              <w:left w:val="nil"/>
              <w:bottom w:val="nil"/>
              <w:right w:val="nil"/>
            </w:tcBorders>
            <w:shd w:val="clear" w:color="auto" w:fill="auto"/>
            <w:noWrap/>
            <w:vAlign w:val="center"/>
            <w:hideMark/>
          </w:tcPr>
          <w:p w14:paraId="345BBAD9"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9</w:t>
            </w:r>
          </w:p>
        </w:tc>
        <w:tc>
          <w:tcPr>
            <w:tcW w:w="1300" w:type="dxa"/>
            <w:tcBorders>
              <w:top w:val="nil"/>
              <w:left w:val="single" w:sz="4" w:space="0" w:color="auto"/>
              <w:bottom w:val="nil"/>
              <w:right w:val="single" w:sz="4" w:space="0" w:color="auto"/>
            </w:tcBorders>
            <w:shd w:val="clear" w:color="000000" w:fill="FFFFFF"/>
            <w:noWrap/>
            <w:vAlign w:val="center"/>
            <w:hideMark/>
          </w:tcPr>
          <w:p w14:paraId="3E1BE967"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532.107.131</w:t>
            </w:r>
          </w:p>
        </w:tc>
        <w:tc>
          <w:tcPr>
            <w:tcW w:w="1318" w:type="dxa"/>
            <w:tcBorders>
              <w:top w:val="nil"/>
              <w:left w:val="nil"/>
              <w:bottom w:val="nil"/>
              <w:right w:val="single" w:sz="4" w:space="0" w:color="auto"/>
            </w:tcBorders>
            <w:shd w:val="clear" w:color="000000" w:fill="FFFFFF"/>
            <w:noWrap/>
            <w:vAlign w:val="center"/>
            <w:hideMark/>
          </w:tcPr>
          <w:p w14:paraId="4FD5F4B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147.983.514</w:t>
            </w:r>
          </w:p>
        </w:tc>
      </w:tr>
      <w:tr w:rsidR="00ED36F3" w:rsidRPr="00ED36F3" w14:paraId="55472E35"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0E98EB4B"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48/01</w:t>
            </w:r>
          </w:p>
        </w:tc>
        <w:tc>
          <w:tcPr>
            <w:tcW w:w="1480" w:type="dxa"/>
            <w:tcBorders>
              <w:top w:val="nil"/>
              <w:left w:val="single" w:sz="4" w:space="0" w:color="auto"/>
              <w:bottom w:val="nil"/>
              <w:right w:val="single" w:sz="4" w:space="0" w:color="auto"/>
            </w:tcBorders>
            <w:shd w:val="clear" w:color="000000" w:fill="FFFFFF"/>
            <w:noWrap/>
            <w:vAlign w:val="center"/>
            <w:hideMark/>
          </w:tcPr>
          <w:p w14:paraId="1B876454"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95.755.873</w:t>
            </w:r>
          </w:p>
        </w:tc>
        <w:tc>
          <w:tcPr>
            <w:tcW w:w="520" w:type="dxa"/>
            <w:tcBorders>
              <w:top w:val="nil"/>
              <w:left w:val="nil"/>
              <w:bottom w:val="nil"/>
              <w:right w:val="nil"/>
            </w:tcBorders>
            <w:shd w:val="clear" w:color="auto" w:fill="auto"/>
            <w:noWrap/>
            <w:vAlign w:val="center"/>
            <w:hideMark/>
          </w:tcPr>
          <w:p w14:paraId="3420BA51"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2</w:t>
            </w:r>
          </w:p>
        </w:tc>
        <w:tc>
          <w:tcPr>
            <w:tcW w:w="1300" w:type="dxa"/>
            <w:tcBorders>
              <w:top w:val="nil"/>
              <w:left w:val="single" w:sz="4" w:space="0" w:color="auto"/>
              <w:bottom w:val="nil"/>
              <w:right w:val="single" w:sz="4" w:space="0" w:color="auto"/>
            </w:tcBorders>
            <w:shd w:val="clear" w:color="000000" w:fill="FFFFFF"/>
            <w:noWrap/>
            <w:vAlign w:val="center"/>
            <w:hideMark/>
          </w:tcPr>
          <w:p w14:paraId="66987A0F"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128.393.456</w:t>
            </w:r>
          </w:p>
        </w:tc>
        <w:tc>
          <w:tcPr>
            <w:tcW w:w="1318" w:type="dxa"/>
            <w:tcBorders>
              <w:top w:val="nil"/>
              <w:left w:val="nil"/>
              <w:bottom w:val="nil"/>
              <w:right w:val="single" w:sz="4" w:space="0" w:color="auto"/>
            </w:tcBorders>
            <w:shd w:val="clear" w:color="000000" w:fill="FFFFFF"/>
            <w:noWrap/>
            <w:vAlign w:val="center"/>
            <w:hideMark/>
          </w:tcPr>
          <w:p w14:paraId="028F79F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32.637.583</w:t>
            </w:r>
          </w:p>
        </w:tc>
      </w:tr>
      <w:tr w:rsidR="00ED36F3" w:rsidRPr="00ED36F3" w14:paraId="3BB2873A"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26C47E8D"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Obra por tu lugar</w:t>
            </w:r>
          </w:p>
        </w:tc>
        <w:tc>
          <w:tcPr>
            <w:tcW w:w="1480" w:type="dxa"/>
            <w:tcBorders>
              <w:top w:val="nil"/>
              <w:left w:val="single" w:sz="4" w:space="0" w:color="auto"/>
              <w:bottom w:val="nil"/>
              <w:right w:val="single" w:sz="4" w:space="0" w:color="auto"/>
            </w:tcBorders>
            <w:shd w:val="clear" w:color="000000" w:fill="FFFFFF"/>
            <w:noWrap/>
            <w:vAlign w:val="center"/>
            <w:hideMark/>
          </w:tcPr>
          <w:p w14:paraId="5B37A2C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14.999.800</w:t>
            </w:r>
          </w:p>
        </w:tc>
        <w:tc>
          <w:tcPr>
            <w:tcW w:w="520" w:type="dxa"/>
            <w:tcBorders>
              <w:top w:val="nil"/>
              <w:left w:val="nil"/>
              <w:bottom w:val="nil"/>
              <w:right w:val="nil"/>
            </w:tcBorders>
            <w:shd w:val="clear" w:color="auto" w:fill="auto"/>
            <w:noWrap/>
            <w:vAlign w:val="center"/>
            <w:hideMark/>
          </w:tcPr>
          <w:p w14:paraId="006D08BC"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0</w:t>
            </w:r>
          </w:p>
        </w:tc>
        <w:tc>
          <w:tcPr>
            <w:tcW w:w="1300" w:type="dxa"/>
            <w:tcBorders>
              <w:top w:val="nil"/>
              <w:left w:val="single" w:sz="4" w:space="0" w:color="auto"/>
              <w:bottom w:val="nil"/>
              <w:right w:val="single" w:sz="4" w:space="0" w:color="auto"/>
            </w:tcBorders>
            <w:shd w:val="clear" w:color="000000" w:fill="FFFFFF"/>
            <w:noWrap/>
            <w:vAlign w:val="center"/>
            <w:hideMark/>
          </w:tcPr>
          <w:p w14:paraId="71F4D69B"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14.999.873</w:t>
            </w:r>
          </w:p>
        </w:tc>
        <w:tc>
          <w:tcPr>
            <w:tcW w:w="1318" w:type="dxa"/>
            <w:tcBorders>
              <w:top w:val="nil"/>
              <w:left w:val="nil"/>
              <w:bottom w:val="nil"/>
              <w:right w:val="single" w:sz="4" w:space="0" w:color="auto"/>
            </w:tcBorders>
            <w:shd w:val="clear" w:color="000000" w:fill="FFFFFF"/>
            <w:noWrap/>
            <w:vAlign w:val="center"/>
            <w:hideMark/>
          </w:tcPr>
          <w:p w14:paraId="58D9EEFF"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73</w:t>
            </w:r>
          </w:p>
        </w:tc>
      </w:tr>
      <w:tr w:rsidR="00ED36F3" w:rsidRPr="00ED36F3" w14:paraId="71B6CBB4"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4AFA86B3"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Acuerdo398/09</w:t>
            </w:r>
          </w:p>
        </w:tc>
        <w:tc>
          <w:tcPr>
            <w:tcW w:w="1480" w:type="dxa"/>
            <w:tcBorders>
              <w:top w:val="nil"/>
              <w:left w:val="single" w:sz="4" w:space="0" w:color="auto"/>
              <w:bottom w:val="nil"/>
              <w:right w:val="single" w:sz="4" w:space="0" w:color="auto"/>
            </w:tcBorders>
            <w:shd w:val="clear" w:color="000000" w:fill="FFFFFF"/>
            <w:noWrap/>
            <w:vAlign w:val="center"/>
            <w:hideMark/>
          </w:tcPr>
          <w:p w14:paraId="080E579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121.999.529</w:t>
            </w:r>
          </w:p>
        </w:tc>
        <w:tc>
          <w:tcPr>
            <w:tcW w:w="520" w:type="dxa"/>
            <w:tcBorders>
              <w:top w:val="nil"/>
              <w:left w:val="nil"/>
              <w:bottom w:val="nil"/>
              <w:right w:val="nil"/>
            </w:tcBorders>
            <w:shd w:val="clear" w:color="auto" w:fill="auto"/>
            <w:noWrap/>
            <w:vAlign w:val="center"/>
            <w:hideMark/>
          </w:tcPr>
          <w:p w14:paraId="29424E03"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w:t>
            </w:r>
          </w:p>
        </w:tc>
        <w:tc>
          <w:tcPr>
            <w:tcW w:w="1300" w:type="dxa"/>
            <w:tcBorders>
              <w:top w:val="nil"/>
              <w:left w:val="single" w:sz="4" w:space="0" w:color="auto"/>
              <w:bottom w:val="nil"/>
              <w:right w:val="single" w:sz="4" w:space="0" w:color="auto"/>
            </w:tcBorders>
            <w:shd w:val="clear" w:color="000000" w:fill="FFFFFF"/>
            <w:noWrap/>
            <w:vAlign w:val="center"/>
            <w:hideMark/>
          </w:tcPr>
          <w:p w14:paraId="6FB797FD"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121.640.093</w:t>
            </w:r>
          </w:p>
        </w:tc>
        <w:tc>
          <w:tcPr>
            <w:tcW w:w="1318" w:type="dxa"/>
            <w:tcBorders>
              <w:top w:val="nil"/>
              <w:left w:val="nil"/>
              <w:bottom w:val="nil"/>
              <w:right w:val="single" w:sz="4" w:space="0" w:color="auto"/>
            </w:tcBorders>
            <w:shd w:val="clear" w:color="000000" w:fill="FFFFFF"/>
            <w:noWrap/>
            <w:vAlign w:val="center"/>
            <w:hideMark/>
          </w:tcPr>
          <w:p w14:paraId="714EA903"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-359.436</w:t>
            </w:r>
          </w:p>
        </w:tc>
      </w:tr>
      <w:tr w:rsidR="00ED36F3" w:rsidRPr="00ED36F3" w14:paraId="02CDF7C5"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0CB19CB9"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451/2010</w:t>
            </w:r>
          </w:p>
        </w:tc>
        <w:tc>
          <w:tcPr>
            <w:tcW w:w="1480" w:type="dxa"/>
            <w:tcBorders>
              <w:top w:val="nil"/>
              <w:left w:val="single" w:sz="4" w:space="0" w:color="auto"/>
              <w:bottom w:val="nil"/>
              <w:right w:val="single" w:sz="4" w:space="0" w:color="auto"/>
            </w:tcBorders>
            <w:shd w:val="clear" w:color="000000" w:fill="FFFFFF"/>
            <w:noWrap/>
            <w:vAlign w:val="center"/>
            <w:hideMark/>
          </w:tcPr>
          <w:p w14:paraId="14D62114"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116.225.505</w:t>
            </w:r>
          </w:p>
        </w:tc>
        <w:tc>
          <w:tcPr>
            <w:tcW w:w="520" w:type="dxa"/>
            <w:tcBorders>
              <w:top w:val="nil"/>
              <w:left w:val="nil"/>
              <w:bottom w:val="nil"/>
              <w:right w:val="nil"/>
            </w:tcBorders>
            <w:shd w:val="clear" w:color="auto" w:fill="auto"/>
            <w:noWrap/>
            <w:vAlign w:val="center"/>
            <w:hideMark/>
          </w:tcPr>
          <w:p w14:paraId="75BFB4C2"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w:t>
            </w:r>
          </w:p>
        </w:tc>
        <w:tc>
          <w:tcPr>
            <w:tcW w:w="1300" w:type="dxa"/>
            <w:tcBorders>
              <w:top w:val="nil"/>
              <w:left w:val="single" w:sz="4" w:space="0" w:color="auto"/>
              <w:bottom w:val="nil"/>
              <w:right w:val="single" w:sz="4" w:space="0" w:color="auto"/>
            </w:tcBorders>
            <w:shd w:val="clear" w:color="000000" w:fill="FFFFFF"/>
            <w:noWrap/>
            <w:vAlign w:val="center"/>
            <w:hideMark/>
          </w:tcPr>
          <w:p w14:paraId="56867508"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832.933.402</w:t>
            </w:r>
          </w:p>
        </w:tc>
        <w:tc>
          <w:tcPr>
            <w:tcW w:w="1318" w:type="dxa"/>
            <w:tcBorders>
              <w:top w:val="nil"/>
              <w:left w:val="nil"/>
              <w:bottom w:val="nil"/>
              <w:right w:val="single" w:sz="4" w:space="0" w:color="auto"/>
            </w:tcBorders>
            <w:shd w:val="clear" w:color="000000" w:fill="FFFFFF"/>
            <w:noWrap/>
            <w:vAlign w:val="center"/>
            <w:hideMark/>
          </w:tcPr>
          <w:p w14:paraId="7F4485CD"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716.707.897</w:t>
            </w:r>
          </w:p>
        </w:tc>
      </w:tr>
      <w:tr w:rsidR="00ED36F3" w:rsidRPr="00ED36F3" w14:paraId="48D45379"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32A7026E"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180/05 fase II- IDU</w:t>
            </w:r>
          </w:p>
        </w:tc>
        <w:tc>
          <w:tcPr>
            <w:tcW w:w="1480" w:type="dxa"/>
            <w:tcBorders>
              <w:top w:val="nil"/>
              <w:left w:val="single" w:sz="4" w:space="0" w:color="auto"/>
              <w:bottom w:val="nil"/>
              <w:right w:val="single" w:sz="4" w:space="0" w:color="auto"/>
            </w:tcBorders>
            <w:shd w:val="clear" w:color="000000" w:fill="FFFFFF"/>
            <w:noWrap/>
            <w:vAlign w:val="center"/>
            <w:hideMark/>
          </w:tcPr>
          <w:p w14:paraId="4C1502D7"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333.840.440</w:t>
            </w:r>
          </w:p>
        </w:tc>
        <w:tc>
          <w:tcPr>
            <w:tcW w:w="520" w:type="dxa"/>
            <w:tcBorders>
              <w:top w:val="nil"/>
              <w:left w:val="nil"/>
              <w:bottom w:val="nil"/>
              <w:right w:val="nil"/>
            </w:tcBorders>
            <w:shd w:val="clear" w:color="auto" w:fill="auto"/>
            <w:noWrap/>
            <w:vAlign w:val="center"/>
            <w:hideMark/>
          </w:tcPr>
          <w:p w14:paraId="5D1ACA85"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w:t>
            </w:r>
          </w:p>
        </w:tc>
        <w:tc>
          <w:tcPr>
            <w:tcW w:w="1300" w:type="dxa"/>
            <w:tcBorders>
              <w:top w:val="nil"/>
              <w:left w:val="single" w:sz="4" w:space="0" w:color="auto"/>
              <w:bottom w:val="nil"/>
              <w:right w:val="single" w:sz="4" w:space="0" w:color="auto"/>
            </w:tcBorders>
            <w:shd w:val="clear" w:color="000000" w:fill="FFFFFF"/>
            <w:noWrap/>
            <w:vAlign w:val="center"/>
            <w:hideMark/>
          </w:tcPr>
          <w:p w14:paraId="67D8370A"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1.011.149.818</w:t>
            </w:r>
          </w:p>
        </w:tc>
        <w:tc>
          <w:tcPr>
            <w:tcW w:w="1318" w:type="dxa"/>
            <w:tcBorders>
              <w:top w:val="nil"/>
              <w:left w:val="nil"/>
              <w:bottom w:val="nil"/>
              <w:right w:val="single" w:sz="4" w:space="0" w:color="auto"/>
            </w:tcBorders>
            <w:shd w:val="clear" w:color="000000" w:fill="FFFFFF"/>
            <w:noWrap/>
            <w:vAlign w:val="center"/>
            <w:hideMark/>
          </w:tcPr>
          <w:p w14:paraId="6CC47BF5"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677.309.378</w:t>
            </w:r>
          </w:p>
        </w:tc>
      </w:tr>
      <w:tr w:rsidR="00ED36F3" w:rsidRPr="00ED36F3" w14:paraId="358E19C1"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14933156"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180/05 fase II- IDRD</w:t>
            </w:r>
          </w:p>
        </w:tc>
        <w:tc>
          <w:tcPr>
            <w:tcW w:w="1480" w:type="dxa"/>
            <w:tcBorders>
              <w:top w:val="nil"/>
              <w:left w:val="single" w:sz="4" w:space="0" w:color="auto"/>
              <w:bottom w:val="nil"/>
              <w:right w:val="single" w:sz="4" w:space="0" w:color="auto"/>
            </w:tcBorders>
            <w:shd w:val="clear" w:color="000000" w:fill="FFFFFF"/>
            <w:noWrap/>
            <w:vAlign w:val="center"/>
            <w:hideMark/>
          </w:tcPr>
          <w:p w14:paraId="6DD864B1"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22.566.588</w:t>
            </w:r>
          </w:p>
        </w:tc>
        <w:tc>
          <w:tcPr>
            <w:tcW w:w="520" w:type="dxa"/>
            <w:tcBorders>
              <w:top w:val="nil"/>
              <w:left w:val="nil"/>
              <w:bottom w:val="nil"/>
              <w:right w:val="nil"/>
            </w:tcBorders>
            <w:shd w:val="clear" w:color="auto" w:fill="auto"/>
            <w:noWrap/>
            <w:vAlign w:val="center"/>
            <w:hideMark/>
          </w:tcPr>
          <w:p w14:paraId="219BB9D6"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0</w:t>
            </w:r>
          </w:p>
        </w:tc>
        <w:tc>
          <w:tcPr>
            <w:tcW w:w="1300" w:type="dxa"/>
            <w:tcBorders>
              <w:top w:val="nil"/>
              <w:left w:val="single" w:sz="4" w:space="0" w:color="auto"/>
              <w:bottom w:val="nil"/>
              <w:right w:val="single" w:sz="4" w:space="0" w:color="auto"/>
            </w:tcBorders>
            <w:shd w:val="clear" w:color="000000" w:fill="FFFFFF"/>
            <w:noWrap/>
            <w:vAlign w:val="center"/>
            <w:hideMark/>
          </w:tcPr>
          <w:p w14:paraId="6E3510FE"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93.248.654</w:t>
            </w:r>
          </w:p>
        </w:tc>
        <w:tc>
          <w:tcPr>
            <w:tcW w:w="1318" w:type="dxa"/>
            <w:tcBorders>
              <w:top w:val="nil"/>
              <w:left w:val="nil"/>
              <w:bottom w:val="nil"/>
              <w:right w:val="single" w:sz="4" w:space="0" w:color="auto"/>
            </w:tcBorders>
            <w:shd w:val="clear" w:color="000000" w:fill="FFFFFF"/>
            <w:noWrap/>
            <w:vAlign w:val="center"/>
            <w:hideMark/>
          </w:tcPr>
          <w:p w14:paraId="04D9E0B4"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70.682.066</w:t>
            </w:r>
          </w:p>
        </w:tc>
      </w:tr>
      <w:tr w:rsidR="00ED36F3" w:rsidRPr="00ED36F3" w14:paraId="1A6DC47F"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277EDC14"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523 de 2013- IDU</w:t>
            </w:r>
          </w:p>
        </w:tc>
        <w:tc>
          <w:tcPr>
            <w:tcW w:w="1480" w:type="dxa"/>
            <w:tcBorders>
              <w:top w:val="nil"/>
              <w:left w:val="single" w:sz="4" w:space="0" w:color="auto"/>
              <w:bottom w:val="nil"/>
              <w:right w:val="single" w:sz="4" w:space="0" w:color="auto"/>
            </w:tcBorders>
            <w:shd w:val="clear" w:color="000000" w:fill="FFFFFF"/>
            <w:noWrap/>
            <w:vAlign w:val="center"/>
            <w:hideMark/>
          </w:tcPr>
          <w:p w14:paraId="48CDB25F"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599.165.980</w:t>
            </w:r>
          </w:p>
        </w:tc>
        <w:tc>
          <w:tcPr>
            <w:tcW w:w="520" w:type="dxa"/>
            <w:tcBorders>
              <w:top w:val="nil"/>
              <w:left w:val="nil"/>
              <w:bottom w:val="nil"/>
              <w:right w:val="nil"/>
            </w:tcBorders>
            <w:shd w:val="clear" w:color="auto" w:fill="auto"/>
            <w:noWrap/>
            <w:vAlign w:val="center"/>
            <w:hideMark/>
          </w:tcPr>
          <w:p w14:paraId="1640CED1"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14</w:t>
            </w:r>
          </w:p>
        </w:tc>
        <w:tc>
          <w:tcPr>
            <w:tcW w:w="1300" w:type="dxa"/>
            <w:tcBorders>
              <w:top w:val="nil"/>
              <w:left w:val="single" w:sz="4" w:space="0" w:color="auto"/>
              <w:bottom w:val="nil"/>
              <w:right w:val="single" w:sz="4" w:space="0" w:color="auto"/>
            </w:tcBorders>
            <w:shd w:val="clear" w:color="000000" w:fill="FFFFFF"/>
            <w:noWrap/>
            <w:vAlign w:val="center"/>
            <w:hideMark/>
          </w:tcPr>
          <w:p w14:paraId="4F4AD568"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607.321.871</w:t>
            </w:r>
          </w:p>
        </w:tc>
        <w:tc>
          <w:tcPr>
            <w:tcW w:w="1318" w:type="dxa"/>
            <w:tcBorders>
              <w:top w:val="nil"/>
              <w:left w:val="nil"/>
              <w:bottom w:val="nil"/>
              <w:right w:val="single" w:sz="4" w:space="0" w:color="auto"/>
            </w:tcBorders>
            <w:shd w:val="clear" w:color="000000" w:fill="FFFFFF"/>
            <w:noWrap/>
            <w:vAlign w:val="center"/>
            <w:hideMark/>
          </w:tcPr>
          <w:p w14:paraId="04E9DA71"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8.155.891</w:t>
            </w:r>
          </w:p>
        </w:tc>
      </w:tr>
      <w:tr w:rsidR="00ED36F3" w:rsidRPr="00ED36F3" w14:paraId="7E142079" w14:textId="77777777" w:rsidTr="00ED36F3">
        <w:trPr>
          <w:trHeight w:val="255"/>
        </w:trPr>
        <w:tc>
          <w:tcPr>
            <w:tcW w:w="2800" w:type="dxa"/>
            <w:tcBorders>
              <w:top w:val="nil"/>
              <w:left w:val="single" w:sz="4" w:space="0" w:color="auto"/>
              <w:bottom w:val="nil"/>
              <w:right w:val="nil"/>
            </w:tcBorders>
            <w:shd w:val="clear" w:color="auto" w:fill="auto"/>
            <w:noWrap/>
            <w:vAlign w:val="center"/>
            <w:hideMark/>
          </w:tcPr>
          <w:p w14:paraId="0017EC65" w14:textId="77777777" w:rsidR="00ED36F3" w:rsidRPr="00ED36F3" w:rsidRDefault="00ED36F3" w:rsidP="00AB4D08">
            <w:pPr>
              <w:spacing w:after="0" w:line="240" w:lineRule="auto"/>
              <w:contextualSpacing/>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Acuerdo 523 de 2013- IDRD</w:t>
            </w:r>
          </w:p>
        </w:tc>
        <w:tc>
          <w:tcPr>
            <w:tcW w:w="1480" w:type="dxa"/>
            <w:tcBorders>
              <w:top w:val="nil"/>
              <w:left w:val="single" w:sz="4" w:space="0" w:color="auto"/>
              <w:bottom w:val="nil"/>
              <w:right w:val="single" w:sz="4" w:space="0" w:color="auto"/>
            </w:tcBorders>
            <w:shd w:val="clear" w:color="000000" w:fill="FFFFFF"/>
            <w:noWrap/>
            <w:vAlign w:val="center"/>
            <w:hideMark/>
          </w:tcPr>
          <w:p w14:paraId="30D49145"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7.395.593</w:t>
            </w:r>
          </w:p>
        </w:tc>
        <w:tc>
          <w:tcPr>
            <w:tcW w:w="520" w:type="dxa"/>
            <w:tcBorders>
              <w:top w:val="nil"/>
              <w:left w:val="nil"/>
              <w:bottom w:val="nil"/>
              <w:right w:val="nil"/>
            </w:tcBorders>
            <w:shd w:val="clear" w:color="auto" w:fill="auto"/>
            <w:noWrap/>
            <w:vAlign w:val="center"/>
            <w:hideMark/>
          </w:tcPr>
          <w:p w14:paraId="65D5CED8" w14:textId="77777777" w:rsidR="00ED36F3" w:rsidRPr="00ED36F3" w:rsidRDefault="00ED36F3" w:rsidP="00AB4D08">
            <w:pPr>
              <w:spacing w:after="0" w:line="240" w:lineRule="auto"/>
              <w:contextualSpacing/>
              <w:jc w:val="center"/>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0</w:t>
            </w:r>
          </w:p>
        </w:tc>
        <w:tc>
          <w:tcPr>
            <w:tcW w:w="1300" w:type="dxa"/>
            <w:tcBorders>
              <w:top w:val="nil"/>
              <w:left w:val="single" w:sz="4" w:space="0" w:color="auto"/>
              <w:bottom w:val="nil"/>
              <w:right w:val="single" w:sz="4" w:space="0" w:color="auto"/>
            </w:tcBorders>
            <w:shd w:val="clear" w:color="000000" w:fill="FFFFFF"/>
            <w:noWrap/>
            <w:vAlign w:val="center"/>
            <w:hideMark/>
          </w:tcPr>
          <w:p w14:paraId="566D2695"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7.377.481</w:t>
            </w:r>
          </w:p>
        </w:tc>
        <w:tc>
          <w:tcPr>
            <w:tcW w:w="1318" w:type="dxa"/>
            <w:tcBorders>
              <w:top w:val="nil"/>
              <w:left w:val="nil"/>
              <w:bottom w:val="nil"/>
              <w:right w:val="single" w:sz="4" w:space="0" w:color="auto"/>
            </w:tcBorders>
            <w:shd w:val="clear" w:color="000000" w:fill="FFFFFF"/>
            <w:noWrap/>
            <w:vAlign w:val="center"/>
            <w:hideMark/>
          </w:tcPr>
          <w:p w14:paraId="346E1478" w14:textId="77777777" w:rsidR="00ED36F3" w:rsidRPr="00ED36F3" w:rsidRDefault="00ED36F3" w:rsidP="00AB4D08">
            <w:pPr>
              <w:spacing w:after="0" w:line="240" w:lineRule="auto"/>
              <w:contextualSpacing/>
              <w:jc w:val="right"/>
              <w:rPr>
                <w:rFonts w:ascii="Times New Roman" w:eastAsia="Times New Roman" w:hAnsi="Times New Roman"/>
                <w:color w:val="000000"/>
                <w:sz w:val="20"/>
                <w:szCs w:val="20"/>
                <w:lang w:eastAsia="es-CO"/>
              </w:rPr>
            </w:pPr>
            <w:r w:rsidRPr="00ED36F3">
              <w:rPr>
                <w:rFonts w:ascii="Times New Roman" w:eastAsia="Times New Roman" w:hAnsi="Times New Roman"/>
                <w:color w:val="000000"/>
                <w:sz w:val="20"/>
                <w:szCs w:val="20"/>
                <w:lang w:eastAsia="es-CO"/>
              </w:rPr>
              <w:t>-18.112</w:t>
            </w:r>
          </w:p>
        </w:tc>
      </w:tr>
      <w:tr w:rsidR="00ED36F3" w:rsidRPr="00ED36F3" w14:paraId="2CBD429B" w14:textId="77777777" w:rsidTr="00ED36F3">
        <w:trPr>
          <w:trHeight w:val="510"/>
        </w:trPr>
        <w:tc>
          <w:tcPr>
            <w:tcW w:w="28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2EBCD6" w14:textId="77777777" w:rsidR="00ED36F3" w:rsidRPr="00ED36F3" w:rsidRDefault="00ED36F3" w:rsidP="00AB4D08">
            <w:pPr>
              <w:spacing w:after="0" w:line="240" w:lineRule="auto"/>
              <w:contextualSpacing/>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TOTAL SALDOS A FAVOR DE CONTRIBUYENTES</w:t>
            </w:r>
          </w:p>
        </w:tc>
        <w:tc>
          <w:tcPr>
            <w:tcW w:w="1480" w:type="dxa"/>
            <w:tcBorders>
              <w:top w:val="single" w:sz="4" w:space="0" w:color="auto"/>
              <w:left w:val="nil"/>
              <w:bottom w:val="single" w:sz="4" w:space="0" w:color="auto"/>
              <w:right w:val="single" w:sz="4" w:space="0" w:color="auto"/>
            </w:tcBorders>
            <w:shd w:val="clear" w:color="000000" w:fill="D9D9D9"/>
            <w:noWrap/>
            <w:vAlign w:val="center"/>
            <w:hideMark/>
          </w:tcPr>
          <w:p w14:paraId="4D0F59BF" w14:textId="77777777" w:rsidR="00ED36F3" w:rsidRPr="00ED36F3" w:rsidRDefault="00ED36F3" w:rsidP="00AB4D08">
            <w:pPr>
              <w:spacing w:after="0" w:line="240" w:lineRule="auto"/>
              <w:contextualSpacing/>
              <w:jc w:val="right"/>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4.412.582.430</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60F2E5D4" w14:textId="77777777" w:rsidR="00ED36F3" w:rsidRPr="00ED36F3" w:rsidRDefault="00ED36F3" w:rsidP="00AB4D08">
            <w:pPr>
              <w:spacing w:after="0" w:line="240" w:lineRule="auto"/>
              <w:contextualSpacing/>
              <w:jc w:val="center"/>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100</w:t>
            </w: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6167D001" w14:textId="77777777" w:rsidR="00ED36F3" w:rsidRPr="00ED36F3" w:rsidRDefault="00ED36F3" w:rsidP="00AB4D08">
            <w:pPr>
              <w:spacing w:after="0" w:line="240" w:lineRule="auto"/>
              <w:contextualSpacing/>
              <w:jc w:val="right"/>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5.889.766.902</w:t>
            </w:r>
          </w:p>
        </w:tc>
        <w:tc>
          <w:tcPr>
            <w:tcW w:w="1318" w:type="dxa"/>
            <w:tcBorders>
              <w:top w:val="single" w:sz="4" w:space="0" w:color="auto"/>
              <w:left w:val="nil"/>
              <w:bottom w:val="single" w:sz="4" w:space="0" w:color="auto"/>
              <w:right w:val="single" w:sz="4" w:space="0" w:color="auto"/>
            </w:tcBorders>
            <w:shd w:val="clear" w:color="000000" w:fill="D9D9D9"/>
            <w:noWrap/>
            <w:vAlign w:val="center"/>
            <w:hideMark/>
          </w:tcPr>
          <w:p w14:paraId="66A395F8" w14:textId="77777777" w:rsidR="00ED36F3" w:rsidRPr="00ED36F3" w:rsidRDefault="00ED36F3" w:rsidP="00AB4D08">
            <w:pPr>
              <w:spacing w:after="0" w:line="240" w:lineRule="auto"/>
              <w:contextualSpacing/>
              <w:jc w:val="right"/>
              <w:rPr>
                <w:rFonts w:ascii="Times New Roman" w:eastAsia="Times New Roman" w:hAnsi="Times New Roman"/>
                <w:b/>
                <w:bCs/>
                <w:color w:val="000000"/>
                <w:sz w:val="20"/>
                <w:szCs w:val="20"/>
                <w:lang w:eastAsia="es-CO"/>
              </w:rPr>
            </w:pPr>
            <w:r w:rsidRPr="00ED36F3">
              <w:rPr>
                <w:rFonts w:ascii="Times New Roman" w:eastAsia="Times New Roman" w:hAnsi="Times New Roman"/>
                <w:b/>
                <w:bCs/>
                <w:color w:val="000000"/>
                <w:sz w:val="20"/>
                <w:szCs w:val="20"/>
                <w:lang w:eastAsia="es-CO"/>
              </w:rPr>
              <w:t>1.477.184.472</w:t>
            </w:r>
          </w:p>
        </w:tc>
      </w:tr>
    </w:tbl>
    <w:p w14:paraId="2590D921" w14:textId="77777777" w:rsidR="00ED36F3" w:rsidRPr="009C0EB6" w:rsidRDefault="00ED36F3" w:rsidP="00AB4D08">
      <w:pPr>
        <w:pStyle w:val="Prrafodelista"/>
        <w:spacing w:after="0" w:line="240" w:lineRule="auto"/>
        <w:ind w:left="567"/>
        <w:jc w:val="both"/>
        <w:rPr>
          <w:rFonts w:ascii="Times New Roman" w:hAnsi="Times New Roman"/>
          <w:sz w:val="24"/>
          <w:szCs w:val="24"/>
        </w:rPr>
      </w:pPr>
    </w:p>
    <w:p w14:paraId="03260745" w14:textId="6EB4B4D5" w:rsidR="00877E4C" w:rsidRPr="00877E4C" w:rsidRDefault="00877E4C" w:rsidP="00AB4D08">
      <w:pPr>
        <w:tabs>
          <w:tab w:val="left" w:pos="2552"/>
        </w:tabs>
        <w:suppressAutoHyphens/>
        <w:spacing w:before="120" w:after="120"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La variación d</w:t>
      </w:r>
      <w:r w:rsidR="009C0EB6">
        <w:rPr>
          <w:rFonts w:ascii="Times New Roman" w:eastAsia="Arial" w:hAnsi="Times New Roman"/>
          <w:sz w:val="24"/>
          <w:szCs w:val="24"/>
        </w:rPr>
        <w:t xml:space="preserve">isminuye en </w:t>
      </w:r>
      <w:r w:rsidRPr="00877E4C">
        <w:rPr>
          <w:rFonts w:ascii="Times New Roman" w:eastAsia="Arial" w:hAnsi="Times New Roman"/>
          <w:sz w:val="24"/>
          <w:szCs w:val="24"/>
        </w:rPr>
        <w:t xml:space="preserve">$1.477.184.472, de saldos a favor de contribuyentes, obedece principalmente a: </w:t>
      </w:r>
    </w:p>
    <w:p w14:paraId="225C0EAC" w14:textId="201845E1" w:rsidR="00877E4C" w:rsidRPr="00877E4C" w:rsidRDefault="00877E4C" w:rsidP="00AB4D08">
      <w:pPr>
        <w:pStyle w:val="Prrafodelista"/>
        <w:tabs>
          <w:tab w:val="left" w:pos="2552"/>
        </w:tabs>
        <w:suppressAutoHyphens/>
        <w:spacing w:before="120" w:after="120" w:line="240" w:lineRule="auto"/>
        <w:ind w:left="567"/>
        <w:jc w:val="both"/>
        <w:rPr>
          <w:rFonts w:ascii="Times New Roman" w:eastAsia="Arial" w:hAnsi="Times New Roman"/>
          <w:sz w:val="24"/>
          <w:szCs w:val="24"/>
          <w:lang w:eastAsia="zh-CN" w:bidi="hi-IN"/>
        </w:rPr>
      </w:pPr>
      <w:r w:rsidRPr="00877E4C">
        <w:rPr>
          <w:rFonts w:ascii="Times New Roman" w:eastAsia="Arial" w:hAnsi="Times New Roman"/>
          <w:sz w:val="24"/>
          <w:szCs w:val="24"/>
          <w:lang w:eastAsia="zh-CN" w:bidi="hi-IN"/>
        </w:rPr>
        <w:t>Generación de nuevos saldos a favor de contribuyentes en el proceso de resolver reclamaciones, realizadas en la asignación del Acuerdo 724, por un monto de $349.745.472</w:t>
      </w:r>
    </w:p>
    <w:p w14:paraId="40ABAF5B" w14:textId="77777777" w:rsidR="00877E4C" w:rsidRDefault="00877E4C" w:rsidP="00AB4D08">
      <w:pPr>
        <w:pStyle w:val="Prrafodelista"/>
        <w:tabs>
          <w:tab w:val="left" w:pos="2552"/>
        </w:tabs>
        <w:suppressAutoHyphens/>
        <w:spacing w:before="120" w:after="120" w:line="240" w:lineRule="auto"/>
        <w:ind w:left="567"/>
        <w:jc w:val="both"/>
        <w:rPr>
          <w:rFonts w:ascii="Times New Roman" w:eastAsia="Arial" w:hAnsi="Times New Roman"/>
          <w:sz w:val="24"/>
          <w:szCs w:val="24"/>
          <w:lang w:eastAsia="zh-CN" w:bidi="hi-IN"/>
        </w:rPr>
      </w:pPr>
    </w:p>
    <w:p w14:paraId="258A3EF3" w14:textId="009EC9F7" w:rsidR="009C0EB6" w:rsidRDefault="009C0EB6" w:rsidP="00AB4D08">
      <w:pPr>
        <w:pStyle w:val="Prrafodelista"/>
        <w:tabs>
          <w:tab w:val="left" w:pos="2552"/>
        </w:tabs>
        <w:suppressAutoHyphens/>
        <w:spacing w:before="120" w:after="120" w:line="240" w:lineRule="auto"/>
        <w:ind w:left="567"/>
        <w:jc w:val="both"/>
        <w:rPr>
          <w:rFonts w:ascii="Times New Roman" w:eastAsia="Arial" w:hAnsi="Times New Roman"/>
          <w:sz w:val="24"/>
          <w:szCs w:val="24"/>
          <w:lang w:eastAsia="zh-CN" w:bidi="hi-IN"/>
        </w:rPr>
      </w:pPr>
      <w:r>
        <w:rPr>
          <w:rFonts w:ascii="Times New Roman" w:eastAsia="Arial" w:hAnsi="Times New Roman"/>
          <w:sz w:val="24"/>
          <w:szCs w:val="24"/>
          <w:lang w:eastAsia="zh-CN" w:bidi="hi-IN"/>
        </w:rPr>
        <w:lastRenderedPageBreak/>
        <w:t>Depuración de cartera</w:t>
      </w:r>
    </w:p>
    <w:p w14:paraId="49A0E35D" w14:textId="77777777" w:rsidR="009C0EB6" w:rsidRPr="00877E4C" w:rsidRDefault="009C0EB6" w:rsidP="00AB4D08">
      <w:pPr>
        <w:pStyle w:val="Prrafodelista"/>
        <w:tabs>
          <w:tab w:val="left" w:pos="2552"/>
        </w:tabs>
        <w:suppressAutoHyphens/>
        <w:spacing w:before="120" w:after="120" w:line="240" w:lineRule="auto"/>
        <w:ind w:left="567"/>
        <w:jc w:val="both"/>
        <w:rPr>
          <w:rFonts w:ascii="Times New Roman" w:eastAsia="Arial" w:hAnsi="Times New Roman"/>
          <w:sz w:val="24"/>
          <w:szCs w:val="24"/>
          <w:lang w:eastAsia="zh-CN" w:bidi="hi-IN"/>
        </w:rPr>
      </w:pPr>
    </w:p>
    <w:p w14:paraId="15730BDB" w14:textId="33191F43" w:rsidR="00877E4C" w:rsidRPr="00877E4C" w:rsidRDefault="009C0EB6" w:rsidP="00AB4D08">
      <w:pPr>
        <w:pStyle w:val="Prrafodelista"/>
        <w:tabs>
          <w:tab w:val="left" w:pos="2552"/>
        </w:tabs>
        <w:suppressAutoHyphens/>
        <w:spacing w:before="120" w:after="120" w:line="240" w:lineRule="auto"/>
        <w:ind w:left="567"/>
        <w:jc w:val="both"/>
        <w:rPr>
          <w:rFonts w:ascii="Times New Roman" w:eastAsia="Arial" w:hAnsi="Times New Roman"/>
          <w:sz w:val="24"/>
          <w:szCs w:val="24"/>
        </w:rPr>
      </w:pPr>
      <w:r>
        <w:rPr>
          <w:rFonts w:ascii="Times New Roman" w:eastAsia="Arial" w:hAnsi="Times New Roman"/>
          <w:sz w:val="24"/>
          <w:szCs w:val="24"/>
          <w:lang w:eastAsia="zh-CN" w:bidi="hi-IN"/>
        </w:rPr>
        <w:t>Con corte a la vigencia 2019, se presenta d</w:t>
      </w:r>
      <w:r w:rsidR="00877E4C" w:rsidRPr="00877E4C">
        <w:rPr>
          <w:rFonts w:ascii="Times New Roman" w:eastAsia="Arial" w:hAnsi="Times New Roman"/>
          <w:sz w:val="24"/>
          <w:szCs w:val="24"/>
          <w:lang w:eastAsia="zh-CN" w:bidi="hi-IN"/>
        </w:rPr>
        <w:t>isminución por la aplicación de depuración contable, según el siguiente detalle</w:t>
      </w:r>
      <w:r w:rsidR="00877E4C" w:rsidRPr="00877E4C">
        <w:rPr>
          <w:rFonts w:ascii="Times New Roman" w:eastAsia="Arial" w:hAnsi="Times New Roman"/>
          <w:sz w:val="24"/>
          <w:szCs w:val="24"/>
        </w:rPr>
        <w:t>:</w:t>
      </w:r>
    </w:p>
    <w:p w14:paraId="1549D9BF" w14:textId="77777777" w:rsidR="00877E4C" w:rsidRDefault="00877E4C" w:rsidP="00AB4D08">
      <w:pPr>
        <w:pStyle w:val="Prrafodelista"/>
        <w:spacing w:after="0" w:line="240" w:lineRule="auto"/>
        <w:ind w:left="567"/>
        <w:jc w:val="both"/>
        <w:rPr>
          <w:rFonts w:ascii="Times New Roman" w:hAnsi="Times New Roman"/>
          <w:sz w:val="24"/>
          <w:szCs w:val="24"/>
          <w:u w:val="single"/>
        </w:rPr>
      </w:pPr>
    </w:p>
    <w:p w14:paraId="496DF078" w14:textId="376F1E29" w:rsidR="00877E4C" w:rsidRDefault="00877E4C" w:rsidP="00AB4D08">
      <w:pPr>
        <w:pStyle w:val="Prrafodelista"/>
        <w:spacing w:after="0" w:line="240" w:lineRule="auto"/>
        <w:jc w:val="both"/>
        <w:rPr>
          <w:rFonts w:ascii="Times New Roman" w:hAnsi="Times New Roman"/>
          <w:sz w:val="24"/>
          <w:szCs w:val="24"/>
          <w:u w:val="single"/>
        </w:rPr>
      </w:pPr>
      <w:r w:rsidRPr="00684D59">
        <w:rPr>
          <w:noProof/>
          <w:lang w:eastAsia="es-CO"/>
        </w:rPr>
        <w:drawing>
          <wp:inline distT="0" distB="0" distL="0" distR="0" wp14:anchorId="3CE4E136" wp14:editId="1DB577D3">
            <wp:extent cx="2838298" cy="1724425"/>
            <wp:effectExtent l="0" t="0" r="63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51747" cy="1732596"/>
                    </a:xfrm>
                    <a:prstGeom prst="rect">
                      <a:avLst/>
                    </a:prstGeom>
                  </pic:spPr>
                </pic:pic>
              </a:graphicData>
            </a:graphic>
          </wp:inline>
        </w:drawing>
      </w:r>
    </w:p>
    <w:p w14:paraId="135A72D6" w14:textId="77777777" w:rsidR="00A07674" w:rsidRDefault="00A07674" w:rsidP="00AB4D08">
      <w:pPr>
        <w:pStyle w:val="Prrafodelista"/>
        <w:spacing w:after="0" w:line="240" w:lineRule="auto"/>
        <w:jc w:val="both"/>
        <w:rPr>
          <w:rFonts w:ascii="Times New Roman" w:hAnsi="Times New Roman"/>
          <w:sz w:val="24"/>
          <w:szCs w:val="24"/>
          <w:u w:val="single"/>
        </w:rPr>
      </w:pPr>
    </w:p>
    <w:p w14:paraId="44F6E862" w14:textId="7F2146EE" w:rsidR="00C93FE3" w:rsidRPr="00A06AF9" w:rsidRDefault="00C93FE3" w:rsidP="00AB4D08">
      <w:pPr>
        <w:pStyle w:val="Ttulo1"/>
        <w:contextualSpacing/>
        <w:rPr>
          <w:rFonts w:cs="Times New Roman"/>
          <w:sz w:val="24"/>
          <w:szCs w:val="24"/>
        </w:rPr>
      </w:pPr>
      <w:bookmarkStart w:id="63" w:name="_Toc32317275"/>
      <w:r w:rsidRPr="00A06AF9">
        <w:rPr>
          <w:rFonts w:cs="Times New Roman"/>
          <w:sz w:val="24"/>
          <w:szCs w:val="24"/>
        </w:rPr>
        <w:t>NOTA 2</w:t>
      </w:r>
      <w:r w:rsidR="00B51A07" w:rsidRPr="00A06AF9">
        <w:rPr>
          <w:rFonts w:cs="Times New Roman"/>
          <w:sz w:val="24"/>
          <w:szCs w:val="24"/>
        </w:rPr>
        <w:t>2</w:t>
      </w:r>
      <w:r w:rsidRPr="00A06AF9">
        <w:rPr>
          <w:rFonts w:cs="Times New Roman"/>
          <w:sz w:val="24"/>
          <w:szCs w:val="24"/>
        </w:rPr>
        <w:t>. BENEFICIOS A LOS EMPLEADOS</w:t>
      </w:r>
      <w:bookmarkEnd w:id="63"/>
    </w:p>
    <w:p w14:paraId="0F88E582" w14:textId="77777777" w:rsidR="00B51A07" w:rsidRPr="00A06AF9" w:rsidRDefault="00B51A07" w:rsidP="00AB4D08">
      <w:pPr>
        <w:spacing w:after="0" w:line="240" w:lineRule="auto"/>
        <w:contextualSpacing/>
        <w:jc w:val="both"/>
        <w:rPr>
          <w:rFonts w:ascii="Times New Roman" w:hAnsi="Times New Roman"/>
          <w:b/>
          <w:sz w:val="24"/>
          <w:szCs w:val="24"/>
        </w:rPr>
      </w:pPr>
    </w:p>
    <w:p w14:paraId="11D965ED" w14:textId="71DF2AB2" w:rsidR="00B51A07" w:rsidRPr="00A06AF9" w:rsidRDefault="00B51A07" w:rsidP="00AB4D08">
      <w:pPr>
        <w:pStyle w:val="Ttulo2"/>
        <w:numPr>
          <w:ilvl w:val="0"/>
          <w:numId w:val="0"/>
        </w:numPr>
        <w:spacing w:line="240" w:lineRule="auto"/>
        <w:contextualSpacing/>
        <w:rPr>
          <w:rFonts w:cs="Times New Roman"/>
          <w:szCs w:val="24"/>
        </w:rPr>
      </w:pPr>
      <w:bookmarkStart w:id="64" w:name="_Toc32317276"/>
      <w:r w:rsidRPr="00A06AF9">
        <w:rPr>
          <w:rFonts w:cs="Times New Roman"/>
          <w:szCs w:val="24"/>
        </w:rPr>
        <w:t>Composición</w:t>
      </w:r>
      <w:bookmarkEnd w:id="64"/>
    </w:p>
    <w:p w14:paraId="55C2ACBF" w14:textId="77777777" w:rsidR="00DD475B" w:rsidRDefault="00DD475B" w:rsidP="00AB4D08">
      <w:pPr>
        <w:spacing w:line="240" w:lineRule="auto"/>
        <w:ind w:left="567"/>
        <w:contextualSpacing/>
        <w:jc w:val="both"/>
        <w:rPr>
          <w:rFonts w:ascii="Times New Roman" w:hAnsi="Times New Roman"/>
          <w:spacing w:val="-3"/>
          <w:sz w:val="24"/>
          <w:szCs w:val="24"/>
        </w:rPr>
      </w:pPr>
    </w:p>
    <w:p w14:paraId="68944488" w14:textId="38D7BCD0" w:rsidR="00DA242E" w:rsidRPr="00FD1CAF" w:rsidRDefault="00FD1CAF" w:rsidP="00AB4D08">
      <w:pPr>
        <w:spacing w:line="240" w:lineRule="auto"/>
        <w:ind w:left="567"/>
        <w:contextualSpacing/>
        <w:jc w:val="both"/>
        <w:rPr>
          <w:rFonts w:ascii="Times New Roman" w:hAnsi="Times New Roman"/>
          <w:spacing w:val="-3"/>
          <w:sz w:val="24"/>
          <w:szCs w:val="24"/>
        </w:rPr>
      </w:pPr>
      <w:r>
        <w:rPr>
          <w:noProof/>
          <w:lang w:eastAsia="es-CO"/>
        </w:rPr>
        <w:drawing>
          <wp:anchor distT="0" distB="0" distL="114300" distR="114300" simplePos="0" relativeHeight="251678720" behindDoc="0" locked="0" layoutInCell="1" allowOverlap="1" wp14:anchorId="15BDAF47" wp14:editId="74191477">
            <wp:simplePos x="0" y="0"/>
            <wp:positionH relativeFrom="column">
              <wp:posOffset>-19518</wp:posOffset>
            </wp:positionH>
            <wp:positionV relativeFrom="paragraph">
              <wp:posOffset>455295</wp:posOffset>
            </wp:positionV>
            <wp:extent cx="5791835" cy="4072255"/>
            <wp:effectExtent l="0" t="0" r="0" b="4445"/>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91835" cy="4072255"/>
                    </a:xfrm>
                    <a:prstGeom prst="rect">
                      <a:avLst/>
                    </a:prstGeom>
                  </pic:spPr>
                </pic:pic>
              </a:graphicData>
            </a:graphic>
          </wp:anchor>
        </w:drawing>
      </w:r>
      <w:r w:rsidR="00DA242E">
        <w:rPr>
          <w:rFonts w:ascii="Times New Roman" w:hAnsi="Times New Roman"/>
          <w:spacing w:val="-3"/>
          <w:sz w:val="24"/>
          <w:szCs w:val="24"/>
        </w:rPr>
        <w:t xml:space="preserve">Con corte a diciembre </w:t>
      </w:r>
      <w:r w:rsidR="00DA242E" w:rsidRPr="000C6A32">
        <w:rPr>
          <w:rFonts w:ascii="Times New Roman" w:hAnsi="Times New Roman"/>
          <w:spacing w:val="-3"/>
          <w:sz w:val="24"/>
          <w:szCs w:val="24"/>
        </w:rPr>
        <w:t>31</w:t>
      </w:r>
      <w:r w:rsidR="00DA242E">
        <w:rPr>
          <w:rFonts w:ascii="Times New Roman" w:hAnsi="Times New Roman"/>
          <w:spacing w:val="-3"/>
          <w:sz w:val="24"/>
          <w:szCs w:val="24"/>
        </w:rPr>
        <w:t xml:space="preserve"> de </w:t>
      </w:r>
      <w:r w:rsidR="00DA242E" w:rsidRPr="000C6A32">
        <w:rPr>
          <w:rFonts w:ascii="Times New Roman" w:hAnsi="Times New Roman"/>
          <w:spacing w:val="-3"/>
          <w:sz w:val="24"/>
          <w:szCs w:val="24"/>
        </w:rPr>
        <w:t>201</w:t>
      </w:r>
      <w:r w:rsidR="00DA242E">
        <w:rPr>
          <w:rFonts w:ascii="Times New Roman" w:hAnsi="Times New Roman"/>
          <w:spacing w:val="-3"/>
          <w:sz w:val="24"/>
          <w:szCs w:val="24"/>
        </w:rPr>
        <w:t>9</w:t>
      </w:r>
      <w:r w:rsidR="00DA242E" w:rsidRPr="000C6A32">
        <w:rPr>
          <w:rFonts w:ascii="Times New Roman" w:hAnsi="Times New Roman"/>
          <w:spacing w:val="-3"/>
          <w:sz w:val="24"/>
          <w:szCs w:val="24"/>
        </w:rPr>
        <w:t xml:space="preserve">, la cuenta </w:t>
      </w:r>
      <w:r w:rsidR="00DA242E">
        <w:rPr>
          <w:rFonts w:ascii="Times New Roman" w:hAnsi="Times New Roman"/>
          <w:spacing w:val="-3"/>
          <w:sz w:val="24"/>
          <w:szCs w:val="24"/>
        </w:rPr>
        <w:t xml:space="preserve">de </w:t>
      </w:r>
      <w:r w:rsidR="00DA242E" w:rsidRPr="000C6A32">
        <w:rPr>
          <w:rFonts w:ascii="Times New Roman" w:hAnsi="Times New Roman"/>
          <w:spacing w:val="-3"/>
          <w:sz w:val="24"/>
          <w:szCs w:val="24"/>
        </w:rPr>
        <w:t>Beneficios a Empleados, presenta los siguientes saldos:</w:t>
      </w:r>
    </w:p>
    <w:p w14:paraId="4E558F98" w14:textId="180E2567" w:rsidR="00DA242E" w:rsidRPr="00DA242E" w:rsidRDefault="00DA242E" w:rsidP="00AB4D08">
      <w:pPr>
        <w:pStyle w:val="Prrafodelista"/>
        <w:spacing w:after="0" w:line="240" w:lineRule="auto"/>
        <w:ind w:left="567"/>
        <w:jc w:val="both"/>
        <w:rPr>
          <w:rFonts w:ascii="Times New Roman" w:hAnsi="Times New Roman"/>
          <w:spacing w:val="-3"/>
          <w:sz w:val="24"/>
          <w:szCs w:val="24"/>
        </w:rPr>
      </w:pPr>
      <w:r w:rsidRPr="00DA242E">
        <w:rPr>
          <w:rFonts w:ascii="Times New Roman" w:hAnsi="Times New Roman"/>
          <w:spacing w:val="-3"/>
          <w:sz w:val="24"/>
          <w:szCs w:val="24"/>
        </w:rPr>
        <w:lastRenderedPageBreak/>
        <w:t>Esta cuenta presenta un saldo a</w:t>
      </w:r>
      <w:r w:rsidR="00557E76">
        <w:rPr>
          <w:rFonts w:ascii="Times New Roman" w:hAnsi="Times New Roman"/>
          <w:spacing w:val="-3"/>
          <w:sz w:val="24"/>
          <w:szCs w:val="24"/>
        </w:rPr>
        <w:t>l 31 de d</w:t>
      </w:r>
      <w:r w:rsidRPr="00DA242E">
        <w:rPr>
          <w:rFonts w:ascii="Times New Roman" w:hAnsi="Times New Roman"/>
          <w:spacing w:val="-3"/>
          <w:sz w:val="24"/>
          <w:szCs w:val="24"/>
        </w:rPr>
        <w:t xml:space="preserve">iciembre </w:t>
      </w:r>
      <w:r w:rsidR="00557E76">
        <w:rPr>
          <w:rFonts w:ascii="Times New Roman" w:hAnsi="Times New Roman"/>
          <w:spacing w:val="-3"/>
          <w:sz w:val="24"/>
          <w:szCs w:val="24"/>
        </w:rPr>
        <w:t>de 2019 por</w:t>
      </w:r>
      <w:r w:rsidRPr="00DA242E">
        <w:rPr>
          <w:rFonts w:ascii="Times New Roman" w:hAnsi="Times New Roman"/>
          <w:spacing w:val="-3"/>
          <w:sz w:val="24"/>
          <w:szCs w:val="24"/>
        </w:rPr>
        <w:t xml:space="preserve"> $11</w:t>
      </w:r>
      <w:r>
        <w:rPr>
          <w:rFonts w:ascii="Times New Roman" w:hAnsi="Times New Roman"/>
          <w:spacing w:val="-3"/>
          <w:sz w:val="24"/>
          <w:szCs w:val="24"/>
        </w:rPr>
        <w:t>.</w:t>
      </w:r>
      <w:r w:rsidRPr="00DA242E">
        <w:rPr>
          <w:rFonts w:ascii="Times New Roman" w:hAnsi="Times New Roman"/>
          <w:spacing w:val="-3"/>
          <w:sz w:val="24"/>
          <w:szCs w:val="24"/>
        </w:rPr>
        <w:t>145</w:t>
      </w:r>
      <w:r>
        <w:rPr>
          <w:rFonts w:ascii="Times New Roman" w:hAnsi="Times New Roman"/>
          <w:spacing w:val="-3"/>
          <w:sz w:val="24"/>
          <w:szCs w:val="24"/>
        </w:rPr>
        <w:t>.</w:t>
      </w:r>
      <w:r w:rsidRPr="00DA242E">
        <w:rPr>
          <w:rFonts w:ascii="Times New Roman" w:hAnsi="Times New Roman"/>
          <w:spacing w:val="-3"/>
          <w:sz w:val="24"/>
          <w:szCs w:val="24"/>
        </w:rPr>
        <w:t>264</w:t>
      </w:r>
      <w:r>
        <w:rPr>
          <w:rFonts w:ascii="Times New Roman" w:hAnsi="Times New Roman"/>
          <w:spacing w:val="-3"/>
          <w:sz w:val="24"/>
          <w:szCs w:val="24"/>
        </w:rPr>
        <w:t>.</w:t>
      </w:r>
      <w:r w:rsidRPr="00DA242E">
        <w:rPr>
          <w:rFonts w:ascii="Times New Roman" w:hAnsi="Times New Roman"/>
          <w:spacing w:val="-3"/>
          <w:sz w:val="24"/>
          <w:szCs w:val="24"/>
        </w:rPr>
        <w:t xml:space="preserve">851, conformada  por Beneficios a Empleados a Corto plazo </w:t>
      </w:r>
      <w:r>
        <w:rPr>
          <w:rFonts w:ascii="Times New Roman" w:hAnsi="Times New Roman"/>
          <w:spacing w:val="-3"/>
          <w:sz w:val="24"/>
          <w:szCs w:val="24"/>
        </w:rPr>
        <w:t xml:space="preserve">por </w:t>
      </w:r>
      <w:r w:rsidRPr="00DA242E">
        <w:rPr>
          <w:rFonts w:ascii="Times New Roman" w:hAnsi="Times New Roman"/>
          <w:spacing w:val="-3"/>
          <w:sz w:val="24"/>
          <w:szCs w:val="24"/>
        </w:rPr>
        <w:t>$7</w:t>
      </w:r>
      <w:r>
        <w:rPr>
          <w:rFonts w:ascii="Times New Roman" w:hAnsi="Times New Roman"/>
          <w:spacing w:val="-3"/>
          <w:sz w:val="24"/>
          <w:szCs w:val="24"/>
        </w:rPr>
        <w:t>.</w:t>
      </w:r>
      <w:r w:rsidRPr="00DA242E">
        <w:rPr>
          <w:rFonts w:ascii="Times New Roman" w:hAnsi="Times New Roman"/>
          <w:spacing w:val="-3"/>
          <w:sz w:val="24"/>
          <w:szCs w:val="24"/>
        </w:rPr>
        <w:t>885</w:t>
      </w:r>
      <w:r>
        <w:rPr>
          <w:rFonts w:ascii="Times New Roman" w:hAnsi="Times New Roman"/>
          <w:spacing w:val="-3"/>
          <w:sz w:val="24"/>
          <w:szCs w:val="24"/>
        </w:rPr>
        <w:t>.</w:t>
      </w:r>
      <w:r w:rsidRPr="00DA242E">
        <w:rPr>
          <w:rFonts w:ascii="Times New Roman" w:hAnsi="Times New Roman"/>
          <w:spacing w:val="-3"/>
          <w:sz w:val="24"/>
          <w:szCs w:val="24"/>
        </w:rPr>
        <w:t>582</w:t>
      </w:r>
      <w:r>
        <w:rPr>
          <w:rFonts w:ascii="Times New Roman" w:hAnsi="Times New Roman"/>
          <w:spacing w:val="-3"/>
          <w:sz w:val="24"/>
          <w:szCs w:val="24"/>
        </w:rPr>
        <w:t>.</w:t>
      </w:r>
      <w:r w:rsidRPr="00DA242E">
        <w:rPr>
          <w:rFonts w:ascii="Times New Roman" w:hAnsi="Times New Roman"/>
          <w:spacing w:val="-3"/>
          <w:sz w:val="24"/>
          <w:szCs w:val="24"/>
        </w:rPr>
        <w:t>414 (sueldos, cesantías, intereses, vacaciones, prima de vacaciones, prima de navidad, bonificación por recreación, aportes a riesgos laborales y aportes a seguridad social del empleador)  y Beneficios a empleados a Largo Plazo por $3</w:t>
      </w:r>
      <w:r>
        <w:rPr>
          <w:rFonts w:ascii="Times New Roman" w:hAnsi="Times New Roman"/>
          <w:spacing w:val="-3"/>
          <w:sz w:val="24"/>
          <w:szCs w:val="24"/>
        </w:rPr>
        <w:t>.</w:t>
      </w:r>
      <w:r w:rsidRPr="00DA242E">
        <w:rPr>
          <w:rFonts w:ascii="Times New Roman" w:hAnsi="Times New Roman"/>
          <w:spacing w:val="-3"/>
          <w:sz w:val="24"/>
          <w:szCs w:val="24"/>
        </w:rPr>
        <w:t>259</w:t>
      </w:r>
      <w:r>
        <w:rPr>
          <w:rFonts w:ascii="Times New Roman" w:hAnsi="Times New Roman"/>
          <w:spacing w:val="-3"/>
          <w:sz w:val="24"/>
          <w:szCs w:val="24"/>
        </w:rPr>
        <w:t>.</w:t>
      </w:r>
      <w:r w:rsidRPr="00DA242E">
        <w:rPr>
          <w:rFonts w:ascii="Times New Roman" w:hAnsi="Times New Roman"/>
          <w:spacing w:val="-3"/>
          <w:sz w:val="24"/>
          <w:szCs w:val="24"/>
        </w:rPr>
        <w:t>682</w:t>
      </w:r>
      <w:r>
        <w:rPr>
          <w:rFonts w:ascii="Times New Roman" w:hAnsi="Times New Roman"/>
          <w:spacing w:val="-3"/>
          <w:sz w:val="24"/>
          <w:szCs w:val="24"/>
        </w:rPr>
        <w:t>.</w:t>
      </w:r>
      <w:r w:rsidRPr="00DA242E">
        <w:rPr>
          <w:rFonts w:ascii="Times New Roman" w:hAnsi="Times New Roman"/>
          <w:spacing w:val="-3"/>
          <w:sz w:val="24"/>
          <w:szCs w:val="24"/>
        </w:rPr>
        <w:t xml:space="preserve">437 (Cesantías retroactivas </w:t>
      </w:r>
      <w:proofErr w:type="spellStart"/>
      <w:r w:rsidRPr="00DA242E">
        <w:rPr>
          <w:rFonts w:ascii="Times New Roman" w:hAnsi="Times New Roman"/>
          <w:spacing w:val="-3"/>
          <w:sz w:val="24"/>
          <w:szCs w:val="24"/>
        </w:rPr>
        <w:t>Foncep</w:t>
      </w:r>
      <w:proofErr w:type="spellEnd"/>
      <w:r w:rsidRPr="00DA242E">
        <w:rPr>
          <w:rFonts w:ascii="Times New Roman" w:hAnsi="Times New Roman"/>
          <w:spacing w:val="-3"/>
          <w:sz w:val="24"/>
          <w:szCs w:val="24"/>
        </w:rPr>
        <w:t xml:space="preserve"> y Reconocimiento por permanencia).</w:t>
      </w:r>
    </w:p>
    <w:p w14:paraId="5962131B" w14:textId="6AB9BC87" w:rsidR="00557E76" w:rsidRDefault="00557E76" w:rsidP="00AB4D08">
      <w:pPr>
        <w:pStyle w:val="m1431249991345761887gmail-msonormal"/>
        <w:shd w:val="clear" w:color="auto" w:fill="FFFFFF"/>
        <w:spacing w:after="0" w:afterAutospacing="0"/>
        <w:ind w:left="567"/>
        <w:contextualSpacing/>
        <w:jc w:val="both"/>
        <w:rPr>
          <w:spacing w:val="-3"/>
        </w:rPr>
      </w:pPr>
      <w:r>
        <w:rPr>
          <w:spacing w:val="-3"/>
        </w:rPr>
        <w:t xml:space="preserve">Los beneficios a empleados presentan las siguientes variaciones: </w:t>
      </w:r>
    </w:p>
    <w:p w14:paraId="7282793B" w14:textId="77777777" w:rsidR="00557E76" w:rsidRDefault="00557E76" w:rsidP="00AB4D08">
      <w:pPr>
        <w:pStyle w:val="m1431249991345761887gmail-msonormal"/>
        <w:shd w:val="clear" w:color="auto" w:fill="FFFFFF"/>
        <w:spacing w:after="0" w:afterAutospacing="0"/>
        <w:ind w:left="567"/>
        <w:contextualSpacing/>
        <w:jc w:val="both"/>
        <w:rPr>
          <w:spacing w:val="-3"/>
        </w:rPr>
      </w:pPr>
    </w:p>
    <w:p w14:paraId="33EFF291" w14:textId="389C59D6" w:rsidR="00CB0652" w:rsidRDefault="00B84D83" w:rsidP="00AB4D08">
      <w:pPr>
        <w:pStyle w:val="m1431249991345761887gmail-msonormal"/>
        <w:shd w:val="clear" w:color="auto" w:fill="FFFFFF"/>
        <w:spacing w:after="0" w:afterAutospacing="0"/>
        <w:ind w:left="567"/>
        <w:contextualSpacing/>
        <w:jc w:val="both"/>
        <w:rPr>
          <w:spacing w:val="-3"/>
        </w:rPr>
      </w:pPr>
      <w:r>
        <w:rPr>
          <w:spacing w:val="-3"/>
        </w:rPr>
        <w:t>Los b</w:t>
      </w:r>
      <w:r w:rsidR="00557E76">
        <w:rPr>
          <w:spacing w:val="-3"/>
        </w:rPr>
        <w:t xml:space="preserve">eneficios a empleados a corto plazo, </w:t>
      </w:r>
      <w:r>
        <w:rPr>
          <w:spacing w:val="-3"/>
        </w:rPr>
        <w:t xml:space="preserve">reflejan </w:t>
      </w:r>
      <w:r w:rsidR="00DA242E" w:rsidRPr="00DA242E">
        <w:rPr>
          <w:spacing w:val="-3"/>
        </w:rPr>
        <w:t xml:space="preserve">un </w:t>
      </w:r>
      <w:r w:rsidR="00CB0652">
        <w:rPr>
          <w:spacing w:val="-3"/>
        </w:rPr>
        <w:t>incremento de</w:t>
      </w:r>
      <w:r w:rsidR="00DA242E" w:rsidRPr="00DA242E">
        <w:rPr>
          <w:spacing w:val="-3"/>
        </w:rPr>
        <w:t xml:space="preserve"> $726</w:t>
      </w:r>
      <w:r w:rsidR="00DA242E">
        <w:rPr>
          <w:spacing w:val="-3"/>
        </w:rPr>
        <w:t>.</w:t>
      </w:r>
      <w:r w:rsidR="00DA242E" w:rsidRPr="00DA242E">
        <w:rPr>
          <w:spacing w:val="-3"/>
        </w:rPr>
        <w:t>803</w:t>
      </w:r>
      <w:r w:rsidR="00DA242E">
        <w:rPr>
          <w:spacing w:val="-3"/>
        </w:rPr>
        <w:t>.</w:t>
      </w:r>
      <w:r w:rsidR="00DA242E" w:rsidRPr="00DA242E">
        <w:rPr>
          <w:spacing w:val="-3"/>
        </w:rPr>
        <w:t xml:space="preserve">656, </w:t>
      </w:r>
      <w:r w:rsidR="00CB0652">
        <w:rPr>
          <w:spacing w:val="-3"/>
        </w:rPr>
        <w:t>representad</w:t>
      </w:r>
      <w:r>
        <w:rPr>
          <w:spacing w:val="-3"/>
        </w:rPr>
        <w:t xml:space="preserve">o </w:t>
      </w:r>
      <w:r w:rsidR="00CB0652">
        <w:rPr>
          <w:spacing w:val="-3"/>
        </w:rPr>
        <w:t xml:space="preserve">principalmente en </w:t>
      </w:r>
      <w:r w:rsidR="00DA242E" w:rsidRPr="00DA242E">
        <w:rPr>
          <w:spacing w:val="-3"/>
        </w:rPr>
        <w:t>cesantías, vacaciones y prima de vacaciones</w:t>
      </w:r>
      <w:r w:rsidR="00CB0652">
        <w:rPr>
          <w:spacing w:val="-3"/>
        </w:rPr>
        <w:t>, entre otr</w:t>
      </w:r>
      <w:r>
        <w:rPr>
          <w:spacing w:val="-3"/>
        </w:rPr>
        <w:t>o</w:t>
      </w:r>
      <w:r w:rsidR="00CB0652">
        <w:rPr>
          <w:spacing w:val="-3"/>
        </w:rPr>
        <w:t>s.</w:t>
      </w:r>
    </w:p>
    <w:p w14:paraId="11A6776D" w14:textId="77777777" w:rsidR="00CB0652" w:rsidRDefault="00CB0652" w:rsidP="00AB4D08">
      <w:pPr>
        <w:pStyle w:val="m1431249991345761887gmail-msonormal"/>
        <w:shd w:val="clear" w:color="auto" w:fill="FFFFFF"/>
        <w:spacing w:after="0" w:afterAutospacing="0"/>
        <w:ind w:left="567"/>
        <w:contextualSpacing/>
        <w:jc w:val="both"/>
        <w:rPr>
          <w:spacing w:val="-3"/>
        </w:rPr>
      </w:pPr>
    </w:p>
    <w:p w14:paraId="30E0551A" w14:textId="1E12BAD4" w:rsidR="00CB0652" w:rsidRDefault="00B84D83" w:rsidP="00AB4D08">
      <w:pPr>
        <w:pStyle w:val="m1431249991345761887gmail-msonormal"/>
        <w:shd w:val="clear" w:color="auto" w:fill="FFFFFF"/>
        <w:spacing w:after="0" w:afterAutospacing="0"/>
        <w:ind w:left="567"/>
        <w:contextualSpacing/>
        <w:jc w:val="both"/>
        <w:rPr>
          <w:spacing w:val="-3"/>
        </w:rPr>
      </w:pPr>
      <w:r>
        <w:rPr>
          <w:spacing w:val="-3"/>
        </w:rPr>
        <w:t>Los b</w:t>
      </w:r>
      <w:r w:rsidR="00DA242E" w:rsidRPr="00DA242E">
        <w:rPr>
          <w:spacing w:val="-3"/>
        </w:rPr>
        <w:t>eneficios a empleados a largo plazo</w:t>
      </w:r>
      <w:r w:rsidR="00CB0652">
        <w:rPr>
          <w:spacing w:val="-3"/>
        </w:rPr>
        <w:t>,</w:t>
      </w:r>
      <w:r w:rsidR="00DA242E" w:rsidRPr="00DA242E">
        <w:rPr>
          <w:spacing w:val="-3"/>
        </w:rPr>
        <w:t xml:space="preserve"> presenta</w:t>
      </w:r>
      <w:r w:rsidR="00CB0652">
        <w:rPr>
          <w:spacing w:val="-3"/>
        </w:rPr>
        <w:t xml:space="preserve">n </w:t>
      </w:r>
      <w:r w:rsidR="00DA242E" w:rsidRPr="00DA242E">
        <w:rPr>
          <w:spacing w:val="-3"/>
        </w:rPr>
        <w:t>una disminución de $67</w:t>
      </w:r>
      <w:r w:rsidR="00DA242E">
        <w:rPr>
          <w:spacing w:val="-3"/>
        </w:rPr>
        <w:t>.</w:t>
      </w:r>
      <w:r w:rsidR="00DA242E" w:rsidRPr="00DA242E">
        <w:rPr>
          <w:spacing w:val="-3"/>
        </w:rPr>
        <w:t>328</w:t>
      </w:r>
      <w:r w:rsidR="00DA242E">
        <w:rPr>
          <w:spacing w:val="-3"/>
        </w:rPr>
        <w:t>.</w:t>
      </w:r>
      <w:r w:rsidR="00DA242E" w:rsidRPr="00DA242E">
        <w:rPr>
          <w:spacing w:val="-3"/>
        </w:rPr>
        <w:t xml:space="preserve">101, </w:t>
      </w:r>
      <w:r w:rsidR="00CB0652">
        <w:rPr>
          <w:spacing w:val="-3"/>
        </w:rPr>
        <w:t>principalmente por las cesantías retroactivas.</w:t>
      </w:r>
    </w:p>
    <w:p w14:paraId="286A0616" w14:textId="77777777" w:rsidR="00DD475B" w:rsidRDefault="00DD475B" w:rsidP="00AB4D08">
      <w:pPr>
        <w:pStyle w:val="m1431249991345761887gmail-msonormal"/>
        <w:shd w:val="clear" w:color="auto" w:fill="FFFFFF"/>
        <w:spacing w:after="0" w:afterAutospacing="0"/>
        <w:ind w:left="567"/>
        <w:contextualSpacing/>
        <w:jc w:val="both"/>
        <w:rPr>
          <w:spacing w:val="-3"/>
        </w:rPr>
      </w:pPr>
    </w:p>
    <w:p w14:paraId="400991FF" w14:textId="4B5D5812" w:rsidR="00E351B1" w:rsidRPr="00A06AF9" w:rsidRDefault="0078139C" w:rsidP="00AB4D08">
      <w:pPr>
        <w:pStyle w:val="Ttulo2"/>
        <w:numPr>
          <w:ilvl w:val="1"/>
          <w:numId w:val="29"/>
        </w:numPr>
        <w:spacing w:line="240" w:lineRule="auto"/>
        <w:ind w:left="567" w:hanging="567"/>
        <w:contextualSpacing/>
        <w:rPr>
          <w:rFonts w:cs="Times New Roman"/>
          <w:szCs w:val="24"/>
        </w:rPr>
      </w:pPr>
      <w:bookmarkStart w:id="65" w:name="_Toc32317277"/>
      <w:r w:rsidRPr="00A06AF9">
        <w:rPr>
          <w:rFonts w:cs="Times New Roman"/>
          <w:szCs w:val="24"/>
        </w:rPr>
        <w:t>Beneficios a los empleados a corto plazo</w:t>
      </w:r>
      <w:bookmarkEnd w:id="65"/>
    </w:p>
    <w:p w14:paraId="4A32B336" w14:textId="77777777" w:rsidR="00E351B1" w:rsidRDefault="00E351B1" w:rsidP="00AB4D08">
      <w:pPr>
        <w:pStyle w:val="Prrafodelista"/>
        <w:spacing w:after="0" w:line="240" w:lineRule="auto"/>
        <w:ind w:left="709"/>
        <w:jc w:val="both"/>
        <w:rPr>
          <w:rFonts w:ascii="Times New Roman" w:hAnsi="Times New Roman"/>
          <w:sz w:val="24"/>
          <w:szCs w:val="24"/>
        </w:rPr>
      </w:pPr>
    </w:p>
    <w:p w14:paraId="2D6F502B" w14:textId="77A29205" w:rsidR="00215F8C" w:rsidRPr="00CD3D2C" w:rsidRDefault="00215F8C" w:rsidP="00AB4D08">
      <w:pPr>
        <w:spacing w:after="0" w:line="240" w:lineRule="auto"/>
        <w:ind w:left="567"/>
        <w:contextualSpacing/>
        <w:jc w:val="both"/>
        <w:rPr>
          <w:rFonts w:ascii="Times New Roman" w:eastAsia="Times New Roman" w:hAnsi="Times New Roman"/>
          <w:sz w:val="24"/>
          <w:szCs w:val="24"/>
          <w:lang w:eastAsia="es-CO"/>
        </w:rPr>
      </w:pPr>
      <w:r w:rsidRPr="00CD3D2C">
        <w:rPr>
          <w:rFonts w:ascii="Times New Roman" w:eastAsia="Times New Roman" w:hAnsi="Times New Roman"/>
          <w:sz w:val="24"/>
          <w:szCs w:val="24"/>
          <w:lang w:eastAsia="es-CO"/>
        </w:rPr>
        <w:t xml:space="preserve">Se </w:t>
      </w:r>
      <w:r w:rsidRPr="00CD3D2C">
        <w:rPr>
          <w:rFonts w:ascii="Times New Roman" w:eastAsia="Times New Roman" w:hAnsi="Times New Roman"/>
          <w:b/>
          <w:bCs/>
          <w:sz w:val="24"/>
          <w:szCs w:val="24"/>
          <w:lang w:eastAsia="es-CO"/>
        </w:rPr>
        <w:t xml:space="preserve"> </w:t>
      </w:r>
      <w:r w:rsidRPr="00CD3D2C">
        <w:rPr>
          <w:rFonts w:ascii="Times New Roman" w:eastAsia="Times New Roman" w:hAnsi="Times New Roman"/>
          <w:sz w:val="24"/>
          <w:szCs w:val="24"/>
          <w:lang w:eastAsia="es-CO"/>
        </w:rPr>
        <w:t>reconocen como beneficios a los empleados a corto plazo, aquellos otorgados a los empleados que hayan prestado sus servicios durante el periodo contable y cuya obligación de pago ven</w:t>
      </w:r>
      <w:r w:rsidR="00AE191F">
        <w:rPr>
          <w:rFonts w:ascii="Times New Roman" w:eastAsia="Times New Roman" w:hAnsi="Times New Roman"/>
          <w:sz w:val="24"/>
          <w:szCs w:val="24"/>
          <w:lang w:eastAsia="es-CO"/>
        </w:rPr>
        <w:t xml:space="preserve">ce </w:t>
      </w:r>
      <w:r w:rsidRPr="00CD3D2C">
        <w:rPr>
          <w:rFonts w:ascii="Times New Roman" w:eastAsia="Times New Roman" w:hAnsi="Times New Roman"/>
          <w:sz w:val="24"/>
          <w:szCs w:val="24"/>
          <w:lang w:eastAsia="es-CO"/>
        </w:rPr>
        <w:t>dentro de los 12 meses siguientes al cierre del periodo. Hacen parte de tales beneficios, los sueldos, prestaciones sociales y aportes a la seguridad social; los incentivos pagados y los beneficios no monetarios, entre otros.</w:t>
      </w:r>
    </w:p>
    <w:p w14:paraId="22634A14" w14:textId="77777777" w:rsidR="00215F8C" w:rsidRPr="00CD3D2C" w:rsidRDefault="00215F8C" w:rsidP="00AB4D08">
      <w:pPr>
        <w:spacing w:after="0" w:line="240" w:lineRule="auto"/>
        <w:ind w:left="567"/>
        <w:contextualSpacing/>
        <w:jc w:val="both"/>
        <w:rPr>
          <w:rFonts w:ascii="Times New Roman" w:eastAsia="Times New Roman" w:hAnsi="Times New Roman"/>
          <w:color w:val="FF0000"/>
          <w:sz w:val="24"/>
          <w:szCs w:val="24"/>
          <w:lang w:eastAsia="es-CO"/>
        </w:rPr>
      </w:pPr>
    </w:p>
    <w:p w14:paraId="764DFA7F" w14:textId="4CDA6000" w:rsidR="00FB70AD" w:rsidRPr="00FB70AD" w:rsidRDefault="00FB70AD" w:rsidP="00AB4D08">
      <w:pPr>
        <w:pStyle w:val="Default"/>
        <w:tabs>
          <w:tab w:val="left" w:pos="2552"/>
          <w:tab w:val="left" w:pos="2835"/>
        </w:tabs>
        <w:ind w:left="567"/>
        <w:contextualSpacing/>
        <w:rPr>
          <w:rFonts w:ascii="Times New Roman" w:hAnsi="Times New Roman" w:cs="Times New Roman"/>
          <w:color w:val="auto"/>
        </w:rPr>
      </w:pPr>
      <w:r w:rsidRPr="00FB70AD">
        <w:rPr>
          <w:rFonts w:ascii="Times New Roman" w:hAnsi="Times New Roman" w:cs="Times New Roman"/>
          <w:color w:val="auto"/>
        </w:rPr>
        <w:t>Reconocimiento de incentivos</w:t>
      </w:r>
    </w:p>
    <w:p w14:paraId="288FC643" w14:textId="77777777" w:rsidR="00FB70AD" w:rsidRPr="00A75314" w:rsidRDefault="00FB70AD" w:rsidP="00AB4D08">
      <w:pPr>
        <w:pStyle w:val="Default"/>
        <w:contextualSpacing/>
        <w:jc w:val="both"/>
        <w:rPr>
          <w:rFonts w:ascii="Times New Roman" w:hAnsi="Times New Roman" w:cs="Times New Roman"/>
          <w:color w:val="auto"/>
        </w:rPr>
      </w:pPr>
    </w:p>
    <w:p w14:paraId="2EB5B003" w14:textId="77777777" w:rsidR="00FB70AD" w:rsidRPr="00A75314" w:rsidRDefault="00FB70AD" w:rsidP="00AB4D08">
      <w:pPr>
        <w:spacing w:line="240" w:lineRule="auto"/>
        <w:ind w:left="567"/>
        <w:contextualSpacing/>
        <w:jc w:val="both"/>
        <w:rPr>
          <w:rFonts w:ascii="Times New Roman" w:hAnsi="Times New Roman"/>
          <w:sz w:val="24"/>
          <w:szCs w:val="24"/>
          <w:lang w:eastAsia="es-CO"/>
        </w:rPr>
      </w:pPr>
      <w:r w:rsidRPr="00A75314">
        <w:rPr>
          <w:rFonts w:ascii="Times New Roman" w:hAnsi="Times New Roman"/>
          <w:sz w:val="24"/>
          <w:szCs w:val="24"/>
          <w:lang w:eastAsia="es-CO"/>
        </w:rPr>
        <w:t>De conformidad con el parágrafo del artículo 36 de la Ley 909 de 2004, las entidades deberán implementar programas de bienestar e incentivos, con el propósito de elevar los niveles de eficiencia, satisfacción y desarrollo de los empleados en el desempeño de su labor y de contribuir al cumplimiento efectivo de los resultados institucionales.</w:t>
      </w:r>
    </w:p>
    <w:p w14:paraId="1154ED24" w14:textId="77777777" w:rsidR="0021252D" w:rsidRDefault="0021252D" w:rsidP="00AB4D08">
      <w:pPr>
        <w:spacing w:line="240" w:lineRule="auto"/>
        <w:ind w:left="567"/>
        <w:contextualSpacing/>
        <w:jc w:val="both"/>
        <w:rPr>
          <w:rFonts w:ascii="Times New Roman" w:hAnsi="Times New Roman"/>
          <w:sz w:val="24"/>
          <w:szCs w:val="24"/>
          <w:lang w:eastAsia="es-CO"/>
        </w:rPr>
      </w:pPr>
    </w:p>
    <w:p w14:paraId="57F7B983" w14:textId="690AD7DE" w:rsidR="000F2675" w:rsidRDefault="00FB70AD" w:rsidP="00AB4D08">
      <w:pPr>
        <w:spacing w:line="240" w:lineRule="auto"/>
        <w:ind w:left="567"/>
        <w:contextualSpacing/>
        <w:jc w:val="both"/>
        <w:rPr>
          <w:rFonts w:ascii="Times New Roman" w:hAnsi="Times New Roman"/>
          <w:sz w:val="24"/>
          <w:szCs w:val="24"/>
        </w:rPr>
      </w:pPr>
      <w:r w:rsidRPr="00A75314">
        <w:rPr>
          <w:rFonts w:ascii="Times New Roman" w:hAnsi="Times New Roman"/>
          <w:sz w:val="24"/>
          <w:szCs w:val="24"/>
          <w:lang w:eastAsia="es-CO"/>
        </w:rPr>
        <w:t>De acuerdo con lo anterior, la Entidad mediante Resolución No. 000392 de 2019 adoptó el Programa de Estímulos del Instituto de Desarrollo Urbano para la vigencia 2019</w:t>
      </w:r>
      <w:r>
        <w:rPr>
          <w:rFonts w:ascii="Times New Roman" w:hAnsi="Times New Roman"/>
          <w:sz w:val="24"/>
          <w:szCs w:val="24"/>
          <w:lang w:eastAsia="es-CO"/>
        </w:rPr>
        <w:t xml:space="preserve"> -  (PEI 2019)</w:t>
      </w:r>
      <w:r w:rsidRPr="00A75314">
        <w:rPr>
          <w:rFonts w:ascii="Times New Roman" w:hAnsi="Times New Roman"/>
          <w:sz w:val="24"/>
          <w:szCs w:val="24"/>
          <w:lang w:eastAsia="es-CO"/>
        </w:rPr>
        <w:t xml:space="preserve">, </w:t>
      </w:r>
      <w:r>
        <w:rPr>
          <w:rFonts w:ascii="Times New Roman" w:hAnsi="Times New Roman"/>
          <w:sz w:val="24"/>
          <w:szCs w:val="24"/>
          <w:lang w:eastAsia="es-CO"/>
        </w:rPr>
        <w:t xml:space="preserve">formulando en </w:t>
      </w:r>
      <w:r w:rsidRPr="00A75314">
        <w:rPr>
          <w:rFonts w:ascii="Times New Roman" w:hAnsi="Times New Roman"/>
          <w:sz w:val="24"/>
          <w:szCs w:val="24"/>
          <w:lang w:eastAsia="es-CO"/>
        </w:rPr>
        <w:t xml:space="preserve">el Capítulo </w:t>
      </w:r>
      <w:r>
        <w:rPr>
          <w:rFonts w:ascii="Times New Roman" w:hAnsi="Times New Roman"/>
          <w:sz w:val="24"/>
          <w:szCs w:val="24"/>
          <w:lang w:eastAsia="es-CO"/>
        </w:rPr>
        <w:t>2</w:t>
      </w:r>
      <w:r w:rsidRPr="00A75314">
        <w:rPr>
          <w:rFonts w:ascii="Times New Roman" w:hAnsi="Times New Roman"/>
          <w:sz w:val="24"/>
          <w:szCs w:val="24"/>
          <w:lang w:eastAsia="es-CO"/>
        </w:rPr>
        <w:t xml:space="preserve"> de la Resolución </w:t>
      </w:r>
      <w:r w:rsidRPr="00A55E5C">
        <w:rPr>
          <w:rFonts w:ascii="Times New Roman" w:hAnsi="Times New Roman"/>
          <w:sz w:val="24"/>
          <w:szCs w:val="24"/>
          <w:lang w:eastAsia="es-CO"/>
        </w:rPr>
        <w:t>ibídem, el</w:t>
      </w:r>
      <w:r w:rsidRPr="00A75314">
        <w:rPr>
          <w:rFonts w:ascii="Times New Roman" w:hAnsi="Times New Roman"/>
          <w:sz w:val="24"/>
          <w:szCs w:val="24"/>
          <w:lang w:eastAsia="es-CO"/>
        </w:rPr>
        <w:t xml:space="preserve"> Plan Institucional de Incentivos y el Procedimiento para la Selección de los Mejores Empleados de Carrera Administrativa por nivel jerárquico del IDU y los Mejores Equipos de Trabajo para la vigencia </w:t>
      </w:r>
      <w:r w:rsidRPr="00FB70AD">
        <w:rPr>
          <w:rFonts w:ascii="Times New Roman" w:hAnsi="Times New Roman"/>
          <w:sz w:val="24"/>
          <w:szCs w:val="24"/>
          <w:lang w:eastAsia="es-CO"/>
        </w:rPr>
        <w:t>2019.</w:t>
      </w:r>
      <w:r w:rsidR="000F2675">
        <w:rPr>
          <w:rFonts w:ascii="Times New Roman" w:hAnsi="Times New Roman"/>
          <w:sz w:val="24"/>
          <w:szCs w:val="24"/>
          <w:lang w:eastAsia="es-CO"/>
        </w:rPr>
        <w:t xml:space="preserve">  </w:t>
      </w:r>
      <w:r w:rsidR="000F2675" w:rsidRPr="00E96AFE">
        <w:rPr>
          <w:rFonts w:ascii="Times New Roman" w:hAnsi="Times New Roman"/>
          <w:sz w:val="24"/>
          <w:szCs w:val="24"/>
        </w:rPr>
        <w:t>En los capítulos 2 y 2.1 de la Resolución 000392 del 30 de enero de 2019, se estableció el Plan Institucional de Incentivos y el procedimiento para la Selección de los Mejores Empleados de Carrera Administrativa por nivel jerárquico del IDU para la vigencia 2019</w:t>
      </w:r>
      <w:r w:rsidR="00410BEB">
        <w:rPr>
          <w:rFonts w:ascii="Times New Roman" w:hAnsi="Times New Roman"/>
          <w:sz w:val="24"/>
          <w:szCs w:val="24"/>
        </w:rPr>
        <w:t>.</w:t>
      </w:r>
    </w:p>
    <w:p w14:paraId="465505B5" w14:textId="77777777" w:rsidR="000F2675" w:rsidRDefault="000F2675" w:rsidP="00AB4D08">
      <w:pPr>
        <w:spacing w:line="240" w:lineRule="auto"/>
        <w:ind w:left="567"/>
        <w:contextualSpacing/>
        <w:jc w:val="both"/>
        <w:rPr>
          <w:rFonts w:ascii="Times New Roman" w:hAnsi="Times New Roman"/>
          <w:sz w:val="24"/>
          <w:szCs w:val="24"/>
        </w:rPr>
      </w:pPr>
    </w:p>
    <w:p w14:paraId="3913453E" w14:textId="5D691E3B" w:rsidR="00410BEB" w:rsidRPr="00A30BD7" w:rsidRDefault="00410BEB" w:rsidP="00AB4D08">
      <w:pPr>
        <w:spacing w:line="240" w:lineRule="auto"/>
        <w:ind w:left="567" w:right="138"/>
        <w:contextualSpacing/>
        <w:jc w:val="both"/>
        <w:rPr>
          <w:rFonts w:ascii="Times New Roman" w:hAnsi="Times New Roman"/>
          <w:sz w:val="24"/>
          <w:szCs w:val="24"/>
        </w:rPr>
      </w:pPr>
      <w:r w:rsidRPr="00A30BD7">
        <w:rPr>
          <w:rFonts w:ascii="Times New Roman" w:hAnsi="Times New Roman"/>
          <w:sz w:val="24"/>
          <w:szCs w:val="24"/>
        </w:rPr>
        <w:t>En el artículo 18 de la Resolución ídem, se estipuló que los servidores de carrera que fueran seleccionados como mejores en cada uno de los niveles jerárquicos, recibirían como incentivo no pecuniario, un bono para ser utilizado en turismo social, correspondiente al valor de UN MILLÓN CIEN MIL PESOS M/CTE ($1</w:t>
      </w:r>
      <w:r w:rsidR="00480AD4">
        <w:rPr>
          <w:rFonts w:ascii="Times New Roman" w:hAnsi="Times New Roman"/>
          <w:sz w:val="24"/>
          <w:szCs w:val="24"/>
        </w:rPr>
        <w:t>.</w:t>
      </w:r>
      <w:r w:rsidRPr="00A30BD7">
        <w:rPr>
          <w:rFonts w:ascii="Times New Roman" w:hAnsi="Times New Roman"/>
          <w:sz w:val="24"/>
          <w:szCs w:val="24"/>
        </w:rPr>
        <w:t xml:space="preserve">100.000) para cada uno, el cual se abonará en la tarjeta de servicios de la Caja de Compensación </w:t>
      </w:r>
      <w:r w:rsidRPr="00A30BD7">
        <w:rPr>
          <w:rFonts w:ascii="Times New Roman" w:hAnsi="Times New Roman"/>
          <w:sz w:val="24"/>
          <w:szCs w:val="24"/>
        </w:rPr>
        <w:lastRenderedPageBreak/>
        <w:t>Familiar — Compensar, con cargo al contrato IDU1095-2019 y el empleado seleccionado como mejor servidor de carrera de la Entidad, se le realizaría un reconocimiento público, exaltando su compromiso con la Institución.</w:t>
      </w:r>
    </w:p>
    <w:p w14:paraId="06FC27A3" w14:textId="77777777" w:rsidR="00FC217B" w:rsidRDefault="00FC217B" w:rsidP="00AB4D08">
      <w:pPr>
        <w:spacing w:after="0" w:line="240" w:lineRule="auto"/>
        <w:contextualSpacing/>
        <w:jc w:val="both"/>
        <w:rPr>
          <w:rFonts w:ascii="Times New Roman" w:hAnsi="Times New Roman"/>
          <w:sz w:val="24"/>
          <w:szCs w:val="24"/>
        </w:rPr>
      </w:pPr>
    </w:p>
    <w:p w14:paraId="05D6BB9A" w14:textId="644F978A" w:rsidR="0078139C" w:rsidRPr="00A06AF9" w:rsidRDefault="0078139C" w:rsidP="00AB4D08">
      <w:pPr>
        <w:pStyle w:val="Ttulo2"/>
        <w:numPr>
          <w:ilvl w:val="1"/>
          <w:numId w:val="29"/>
        </w:numPr>
        <w:spacing w:line="240" w:lineRule="auto"/>
        <w:ind w:left="567" w:hanging="567"/>
        <w:contextualSpacing/>
        <w:rPr>
          <w:rFonts w:cs="Times New Roman"/>
          <w:szCs w:val="24"/>
        </w:rPr>
      </w:pPr>
      <w:bookmarkStart w:id="66" w:name="_Toc32317278"/>
      <w:r w:rsidRPr="00A06AF9">
        <w:rPr>
          <w:rFonts w:cs="Times New Roman"/>
          <w:szCs w:val="24"/>
        </w:rPr>
        <w:t>Beneficios a empleados a largo plazo</w:t>
      </w:r>
      <w:bookmarkEnd w:id="66"/>
    </w:p>
    <w:p w14:paraId="19E7B11B" w14:textId="77777777" w:rsidR="0078139C" w:rsidRPr="00A06AF9" w:rsidRDefault="0078139C" w:rsidP="00AB4D08">
      <w:pPr>
        <w:pStyle w:val="Prrafodelista"/>
        <w:spacing w:after="0" w:line="240" w:lineRule="auto"/>
        <w:ind w:left="709"/>
        <w:jc w:val="both"/>
        <w:rPr>
          <w:rFonts w:ascii="Times New Roman" w:hAnsi="Times New Roman"/>
          <w:sz w:val="24"/>
          <w:szCs w:val="24"/>
        </w:rPr>
      </w:pPr>
    </w:p>
    <w:p w14:paraId="4B78CF53" w14:textId="1ADEF47B" w:rsidR="003727C4" w:rsidRPr="003727C4" w:rsidRDefault="003727C4" w:rsidP="00AB4D08">
      <w:pPr>
        <w:pStyle w:val="NormalWeb"/>
        <w:spacing w:before="0" w:beforeAutospacing="0" w:after="0" w:afterAutospacing="0"/>
        <w:ind w:left="567"/>
        <w:contextualSpacing/>
        <w:jc w:val="both"/>
      </w:pPr>
      <w:r w:rsidRPr="007A111E">
        <w:t xml:space="preserve">Se reconocen como beneficios a los empleados a largo plazo, los diferentes de los de corto plazo, de los de post-empleo y de los correspondientes a la terminación del vínculo laboral, que se hayan otorgado a los </w:t>
      </w:r>
      <w:r w:rsidRPr="003727C4">
        <w:t xml:space="preserve">servidores públicos con vínculo laboral vigente y </w:t>
      </w:r>
      <w:r w:rsidR="004E4BD6">
        <w:t>cuya obligación de pago no vence</w:t>
      </w:r>
      <w:r w:rsidRPr="003727C4">
        <w:t xml:space="preserve"> dentro de los 12 meses siguientes al cierre del periodo en el cual los empleados hayan prestado sus servicios.</w:t>
      </w:r>
    </w:p>
    <w:p w14:paraId="74B6823C" w14:textId="77777777" w:rsidR="003727C4" w:rsidRPr="003727C4" w:rsidRDefault="003727C4" w:rsidP="00AB4D08">
      <w:pPr>
        <w:spacing w:after="0" w:line="240" w:lineRule="auto"/>
        <w:ind w:left="567"/>
        <w:contextualSpacing/>
        <w:jc w:val="both"/>
        <w:rPr>
          <w:rFonts w:ascii="Times New Roman" w:eastAsia="Times New Roman" w:hAnsi="Times New Roman"/>
          <w:sz w:val="24"/>
          <w:szCs w:val="24"/>
          <w:lang w:eastAsia="es-CO"/>
        </w:rPr>
      </w:pPr>
    </w:p>
    <w:p w14:paraId="18AF24E5" w14:textId="77777777" w:rsidR="003727C4" w:rsidRPr="003727C4" w:rsidRDefault="003727C4" w:rsidP="00AB4D08">
      <w:pPr>
        <w:spacing w:after="0" w:line="240" w:lineRule="auto"/>
        <w:ind w:left="567"/>
        <w:contextualSpacing/>
        <w:jc w:val="both"/>
        <w:rPr>
          <w:rFonts w:ascii="Times New Roman" w:eastAsia="Times New Roman" w:hAnsi="Times New Roman"/>
          <w:sz w:val="24"/>
          <w:szCs w:val="24"/>
          <w:lang w:eastAsia="es-CO"/>
        </w:rPr>
      </w:pPr>
      <w:r w:rsidRPr="003727C4">
        <w:rPr>
          <w:rFonts w:ascii="Times New Roman" w:eastAsia="Times New Roman" w:hAnsi="Times New Roman"/>
          <w:sz w:val="24"/>
          <w:szCs w:val="24"/>
          <w:lang w:eastAsia="es-CO"/>
        </w:rPr>
        <w:t>Los beneficios a los empleados a largo plazo se miden, como mínimo, al final del periodo contable por el valor presente de la obligación derivada de los beneficios definidos, utilizando como factor de descuento la tasa de mercado de los TES emitida por el Gobierno Nacional con plazos similares a los estimados para el pago de las obligaciones.</w:t>
      </w:r>
    </w:p>
    <w:p w14:paraId="12272AA7" w14:textId="77777777" w:rsidR="003727C4" w:rsidRPr="003727C4" w:rsidRDefault="003727C4" w:rsidP="00AB4D08">
      <w:pPr>
        <w:spacing w:line="240" w:lineRule="auto"/>
        <w:ind w:left="567"/>
        <w:contextualSpacing/>
        <w:rPr>
          <w:rFonts w:ascii="Times New Roman" w:hAnsi="Times New Roman"/>
          <w:spacing w:val="-3"/>
          <w:sz w:val="24"/>
          <w:szCs w:val="24"/>
        </w:rPr>
      </w:pPr>
    </w:p>
    <w:p w14:paraId="33B72F67" w14:textId="77777777" w:rsidR="003727C4" w:rsidRDefault="003727C4" w:rsidP="00AB4D08">
      <w:pPr>
        <w:spacing w:line="240" w:lineRule="auto"/>
        <w:ind w:left="567"/>
        <w:contextualSpacing/>
        <w:rPr>
          <w:rFonts w:ascii="Times New Roman" w:hAnsi="Times New Roman"/>
          <w:spacing w:val="-3"/>
          <w:sz w:val="24"/>
          <w:szCs w:val="24"/>
        </w:rPr>
      </w:pPr>
      <w:r w:rsidRPr="003727C4">
        <w:rPr>
          <w:rFonts w:ascii="Times New Roman" w:hAnsi="Times New Roman"/>
          <w:spacing w:val="-3"/>
          <w:sz w:val="24"/>
          <w:szCs w:val="24"/>
        </w:rPr>
        <w:t>En el IDU, se reconocen los siguientes beneficios a largo plazo:</w:t>
      </w:r>
    </w:p>
    <w:p w14:paraId="039C0AC2" w14:textId="15A23E97" w:rsidR="003727C4" w:rsidRPr="003727C4" w:rsidRDefault="003727C4" w:rsidP="00AB4D08">
      <w:pPr>
        <w:spacing w:line="240" w:lineRule="auto"/>
        <w:ind w:left="567"/>
        <w:contextualSpacing/>
        <w:rPr>
          <w:rFonts w:ascii="Times New Roman" w:hAnsi="Times New Roman"/>
          <w:spacing w:val="-3"/>
          <w:sz w:val="24"/>
          <w:szCs w:val="24"/>
        </w:rPr>
      </w:pPr>
      <w:r w:rsidRPr="003727C4">
        <w:rPr>
          <w:rFonts w:ascii="Times New Roman" w:hAnsi="Times New Roman"/>
          <w:spacing w:val="-3"/>
          <w:sz w:val="24"/>
          <w:szCs w:val="24"/>
        </w:rPr>
        <w:t xml:space="preserve"> </w:t>
      </w:r>
    </w:p>
    <w:p w14:paraId="14556FE6" w14:textId="77777777" w:rsidR="003727C4" w:rsidRDefault="003727C4" w:rsidP="00AB4D08">
      <w:pPr>
        <w:spacing w:line="240" w:lineRule="auto"/>
        <w:ind w:left="567"/>
        <w:contextualSpacing/>
        <w:jc w:val="both"/>
        <w:rPr>
          <w:rFonts w:ascii="Times New Roman" w:hAnsi="Times New Roman"/>
          <w:sz w:val="24"/>
          <w:szCs w:val="24"/>
        </w:rPr>
      </w:pPr>
      <w:r w:rsidRPr="003727C4">
        <w:rPr>
          <w:rFonts w:ascii="Times New Roman" w:hAnsi="Times New Roman"/>
          <w:sz w:val="24"/>
          <w:szCs w:val="24"/>
        </w:rPr>
        <w:t>Reconocimiento por Permanencia: Contraprestación directa y retributiva, que se paga a los empleados públicos que hayan cumplido cinco (5) años o más de servicio ininterrumpido, en los organismos y entidades a que hace referencia el artículo 3° del Acuerdo 276 de 2007, modificado por los Acuerdos 336 de 2008 y 528 de 2013.</w:t>
      </w:r>
    </w:p>
    <w:p w14:paraId="1E6C16E6" w14:textId="77777777" w:rsidR="003727C4" w:rsidRPr="003727C4" w:rsidRDefault="003727C4" w:rsidP="00AB4D08">
      <w:pPr>
        <w:spacing w:line="240" w:lineRule="auto"/>
        <w:ind w:left="567"/>
        <w:contextualSpacing/>
        <w:jc w:val="both"/>
        <w:rPr>
          <w:rFonts w:ascii="Times New Roman" w:hAnsi="Times New Roman"/>
          <w:sz w:val="24"/>
          <w:szCs w:val="24"/>
        </w:rPr>
      </w:pPr>
    </w:p>
    <w:p w14:paraId="40E76212" w14:textId="2CB27F9B" w:rsidR="00B56DC4" w:rsidRPr="003727C4" w:rsidRDefault="003727C4" w:rsidP="00AB4D08">
      <w:pPr>
        <w:spacing w:after="0" w:line="240" w:lineRule="auto"/>
        <w:ind w:left="567"/>
        <w:contextualSpacing/>
        <w:jc w:val="both"/>
        <w:rPr>
          <w:rFonts w:ascii="Times New Roman" w:hAnsi="Times New Roman"/>
          <w:sz w:val="24"/>
          <w:szCs w:val="24"/>
        </w:rPr>
      </w:pPr>
      <w:r w:rsidRPr="003727C4">
        <w:rPr>
          <w:rFonts w:ascii="Times New Roman" w:hAnsi="Times New Roman"/>
          <w:sz w:val="24"/>
          <w:szCs w:val="24"/>
        </w:rPr>
        <w:t>Existe también el sistema del FONCEP para cesantías retroactivas, que aplica solamente para determinados funcionarios. Decreto 1045 de 1978, Decreto 1919 de 2002.</w:t>
      </w:r>
    </w:p>
    <w:p w14:paraId="2E9B8FB2" w14:textId="77777777" w:rsidR="00C75BFA" w:rsidRDefault="00C75BFA" w:rsidP="00AB4D08">
      <w:pPr>
        <w:spacing w:after="0" w:line="240" w:lineRule="auto"/>
        <w:contextualSpacing/>
        <w:jc w:val="both"/>
        <w:rPr>
          <w:rFonts w:ascii="Times New Roman" w:hAnsi="Times New Roman"/>
          <w:sz w:val="24"/>
          <w:szCs w:val="24"/>
        </w:rPr>
      </w:pPr>
    </w:p>
    <w:p w14:paraId="33292291" w14:textId="0C328700" w:rsidR="004E4BD6" w:rsidRDefault="004E4BD6"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Con corte a 31 de diciembre de 2019, se presentan los siguientes saldos por concepto de beneficios a empleados a largo plazo:</w:t>
      </w:r>
    </w:p>
    <w:p w14:paraId="475E2EB9" w14:textId="77777777" w:rsidR="004E4BD6" w:rsidRDefault="004E4BD6" w:rsidP="00AB4D08">
      <w:pPr>
        <w:spacing w:after="0" w:line="240" w:lineRule="auto"/>
        <w:ind w:left="567"/>
        <w:contextualSpacing/>
        <w:jc w:val="both"/>
        <w:rPr>
          <w:rFonts w:ascii="Times New Roman" w:hAnsi="Times New Roman"/>
          <w:sz w:val="24"/>
          <w:szCs w:val="24"/>
        </w:rPr>
      </w:pPr>
    </w:p>
    <w:p w14:paraId="03334813" w14:textId="488FCC75" w:rsidR="004E4BD6" w:rsidRDefault="004E4BD6" w:rsidP="00AB4D08">
      <w:pPr>
        <w:spacing w:after="0" w:line="240" w:lineRule="auto"/>
        <w:ind w:left="567"/>
        <w:contextualSpacing/>
        <w:jc w:val="both"/>
        <w:rPr>
          <w:rFonts w:ascii="Times New Roman" w:hAnsi="Times New Roman"/>
          <w:sz w:val="24"/>
          <w:szCs w:val="24"/>
        </w:rPr>
      </w:pPr>
      <w:r w:rsidRPr="004E4BD6">
        <w:rPr>
          <w:noProof/>
          <w:lang w:eastAsia="es-CO"/>
        </w:rPr>
        <w:drawing>
          <wp:inline distT="0" distB="0" distL="0" distR="0" wp14:anchorId="6A7526C5" wp14:editId="3DF05E04">
            <wp:extent cx="5557962" cy="2014417"/>
            <wp:effectExtent l="0" t="0" r="5080" b="508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7004" cy="2017694"/>
                    </a:xfrm>
                    <a:prstGeom prst="rect">
                      <a:avLst/>
                    </a:prstGeom>
                    <a:noFill/>
                    <a:ln>
                      <a:noFill/>
                    </a:ln>
                  </pic:spPr>
                </pic:pic>
              </a:graphicData>
            </a:graphic>
          </wp:inline>
        </w:drawing>
      </w:r>
    </w:p>
    <w:p w14:paraId="2E41A9D0" w14:textId="0A5DFE33" w:rsidR="00685FF3" w:rsidRPr="00A06AF9" w:rsidRDefault="00685FF3" w:rsidP="00AB4D08">
      <w:pPr>
        <w:spacing w:after="0" w:line="240" w:lineRule="auto"/>
        <w:contextualSpacing/>
        <w:jc w:val="both"/>
        <w:rPr>
          <w:rFonts w:ascii="Times New Roman" w:hAnsi="Times New Roman"/>
          <w:sz w:val="24"/>
          <w:szCs w:val="24"/>
        </w:rPr>
      </w:pPr>
    </w:p>
    <w:p w14:paraId="6A8477B2" w14:textId="77777777" w:rsidR="00C55586" w:rsidRDefault="00C55586" w:rsidP="00AB4D08">
      <w:pPr>
        <w:pStyle w:val="Prrafodelista"/>
        <w:spacing w:after="0" w:line="240" w:lineRule="auto"/>
        <w:ind w:left="0"/>
        <w:jc w:val="both"/>
        <w:rPr>
          <w:rFonts w:ascii="Times New Roman" w:hAnsi="Times New Roman"/>
          <w:sz w:val="24"/>
          <w:szCs w:val="24"/>
        </w:rPr>
      </w:pPr>
    </w:p>
    <w:p w14:paraId="4B72E73F" w14:textId="77777777" w:rsidR="00E90A32" w:rsidRPr="00475204" w:rsidRDefault="00E90A32" w:rsidP="00AB4D08">
      <w:pPr>
        <w:pStyle w:val="Prrafodelista"/>
        <w:spacing w:after="0" w:line="240" w:lineRule="auto"/>
        <w:ind w:left="0"/>
        <w:jc w:val="both"/>
        <w:rPr>
          <w:rFonts w:ascii="Times New Roman" w:hAnsi="Times New Roman"/>
          <w:sz w:val="24"/>
          <w:szCs w:val="24"/>
        </w:rPr>
      </w:pPr>
    </w:p>
    <w:p w14:paraId="7C65C096" w14:textId="7C3B0C09" w:rsidR="00567A22" w:rsidRPr="00475204" w:rsidRDefault="00F249E8" w:rsidP="00AB4D08">
      <w:pPr>
        <w:pStyle w:val="Ttulo1"/>
        <w:contextualSpacing/>
        <w:rPr>
          <w:rFonts w:cs="Times New Roman"/>
          <w:sz w:val="24"/>
          <w:szCs w:val="24"/>
        </w:rPr>
      </w:pPr>
      <w:bookmarkStart w:id="67" w:name="_Toc32317279"/>
      <w:r w:rsidRPr="00475204">
        <w:rPr>
          <w:rFonts w:cs="Times New Roman"/>
          <w:sz w:val="24"/>
          <w:szCs w:val="24"/>
        </w:rPr>
        <w:lastRenderedPageBreak/>
        <w:t>NOTA 2</w:t>
      </w:r>
      <w:r w:rsidR="0019476F" w:rsidRPr="00475204">
        <w:rPr>
          <w:rFonts w:cs="Times New Roman"/>
          <w:sz w:val="24"/>
          <w:szCs w:val="24"/>
        </w:rPr>
        <w:t>3</w:t>
      </w:r>
      <w:r w:rsidRPr="00475204">
        <w:rPr>
          <w:rFonts w:cs="Times New Roman"/>
          <w:sz w:val="24"/>
          <w:szCs w:val="24"/>
        </w:rPr>
        <w:t>. PROVISIONES</w:t>
      </w:r>
      <w:bookmarkEnd w:id="67"/>
    </w:p>
    <w:p w14:paraId="61CC7A73" w14:textId="77777777" w:rsidR="007A0A1C" w:rsidRPr="00475204" w:rsidRDefault="007A0A1C" w:rsidP="00AB4D08">
      <w:pPr>
        <w:spacing w:after="0" w:line="240" w:lineRule="auto"/>
        <w:contextualSpacing/>
        <w:jc w:val="both"/>
        <w:rPr>
          <w:rFonts w:ascii="Times New Roman" w:hAnsi="Times New Roman"/>
          <w:b/>
          <w:sz w:val="24"/>
          <w:szCs w:val="24"/>
        </w:rPr>
      </w:pPr>
    </w:p>
    <w:p w14:paraId="7C827540" w14:textId="5E7994D7" w:rsidR="007A0A1C" w:rsidRPr="00475204" w:rsidRDefault="007A0A1C" w:rsidP="00AB4D08">
      <w:pPr>
        <w:pStyle w:val="Ttulo2"/>
        <w:numPr>
          <w:ilvl w:val="0"/>
          <w:numId w:val="0"/>
        </w:numPr>
        <w:spacing w:line="240" w:lineRule="auto"/>
        <w:contextualSpacing/>
        <w:rPr>
          <w:rFonts w:cs="Times New Roman"/>
          <w:szCs w:val="24"/>
        </w:rPr>
      </w:pPr>
      <w:bookmarkStart w:id="68" w:name="_Toc32317280"/>
      <w:r w:rsidRPr="00475204">
        <w:rPr>
          <w:rFonts w:cs="Times New Roman"/>
          <w:szCs w:val="24"/>
        </w:rPr>
        <w:t>Composición</w:t>
      </w:r>
      <w:bookmarkEnd w:id="68"/>
    </w:p>
    <w:p w14:paraId="33D91289" w14:textId="77777777" w:rsidR="007A0A1C" w:rsidRPr="00475204" w:rsidRDefault="007A0A1C" w:rsidP="00AB4D08">
      <w:pPr>
        <w:spacing w:after="0" w:line="240" w:lineRule="auto"/>
        <w:contextualSpacing/>
        <w:jc w:val="both"/>
        <w:rPr>
          <w:rFonts w:ascii="Times New Roman" w:hAnsi="Times New Roman"/>
          <w:b/>
          <w:sz w:val="24"/>
          <w:szCs w:val="24"/>
        </w:rPr>
      </w:pPr>
    </w:p>
    <w:p w14:paraId="426E616E" w14:textId="77777777" w:rsidR="00475204" w:rsidRDefault="00475204"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Las provisiones representan el valor estimado de los procesos que cursan en contra de la entidad y que de acuerdo con la metodología de valoración utilizada tienen una probabilidad de más del 50% de tener un fallo en contra, adicionalmente se registran los procesos que han presentado un primer fallo desfavorable.</w:t>
      </w:r>
    </w:p>
    <w:p w14:paraId="2F462926" w14:textId="77777777" w:rsidR="00716208" w:rsidRDefault="00716208" w:rsidP="00AB4D08">
      <w:pPr>
        <w:spacing w:after="0" w:line="240" w:lineRule="auto"/>
        <w:ind w:left="567"/>
        <w:contextualSpacing/>
        <w:jc w:val="both"/>
        <w:rPr>
          <w:rFonts w:ascii="Times New Roman" w:eastAsia="Arial" w:hAnsi="Times New Roman"/>
          <w:sz w:val="24"/>
          <w:szCs w:val="24"/>
        </w:rPr>
      </w:pPr>
    </w:p>
    <w:tbl>
      <w:tblPr>
        <w:tblW w:w="8431" w:type="dxa"/>
        <w:tblInd w:w="325" w:type="dxa"/>
        <w:tblCellMar>
          <w:left w:w="70" w:type="dxa"/>
          <w:right w:w="70" w:type="dxa"/>
        </w:tblCellMar>
        <w:tblLook w:val="04A0" w:firstRow="1" w:lastRow="0" w:firstColumn="1" w:lastColumn="0" w:noHBand="0" w:noVBand="1"/>
      </w:tblPr>
      <w:tblGrid>
        <w:gridCol w:w="3002"/>
        <w:gridCol w:w="1835"/>
        <w:gridCol w:w="1835"/>
        <w:gridCol w:w="1759"/>
      </w:tblGrid>
      <w:tr w:rsidR="00716208" w:rsidRPr="00716208" w14:paraId="2823ACEF" w14:textId="77777777" w:rsidTr="00716208">
        <w:trPr>
          <w:trHeight w:val="575"/>
        </w:trPr>
        <w:tc>
          <w:tcPr>
            <w:tcW w:w="300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E70E" w14:textId="77777777" w:rsidR="00716208" w:rsidRPr="00716208" w:rsidRDefault="00716208" w:rsidP="00AB4D08">
            <w:pPr>
              <w:spacing w:after="0" w:line="240" w:lineRule="auto"/>
              <w:contextualSpacing/>
              <w:jc w:val="center"/>
              <w:rPr>
                <w:rFonts w:ascii="Times New Roman" w:eastAsia="Times New Roman" w:hAnsi="Times New Roman"/>
                <w:b/>
                <w:bCs/>
                <w:lang w:eastAsia="es-CO"/>
              </w:rPr>
            </w:pPr>
            <w:r w:rsidRPr="00716208">
              <w:rPr>
                <w:rFonts w:ascii="Times New Roman" w:eastAsia="Times New Roman" w:hAnsi="Times New Roman"/>
                <w:b/>
                <w:bCs/>
                <w:lang w:eastAsia="es-CO"/>
              </w:rPr>
              <w:t>CONCEPTO</w:t>
            </w:r>
          </w:p>
        </w:tc>
        <w:tc>
          <w:tcPr>
            <w:tcW w:w="1835" w:type="dxa"/>
            <w:tcBorders>
              <w:top w:val="single" w:sz="4" w:space="0" w:color="auto"/>
              <w:left w:val="nil"/>
              <w:bottom w:val="single" w:sz="4" w:space="0" w:color="auto"/>
              <w:right w:val="single" w:sz="4" w:space="0" w:color="auto"/>
            </w:tcBorders>
            <w:shd w:val="clear" w:color="000000" w:fill="D9D9D9"/>
            <w:vAlign w:val="center"/>
            <w:hideMark/>
          </w:tcPr>
          <w:p w14:paraId="03FEAFFF" w14:textId="77777777" w:rsidR="00716208" w:rsidRPr="00716208" w:rsidRDefault="00716208" w:rsidP="00AB4D08">
            <w:pPr>
              <w:spacing w:after="0" w:line="240" w:lineRule="auto"/>
              <w:contextualSpacing/>
              <w:jc w:val="center"/>
              <w:rPr>
                <w:rFonts w:ascii="Times New Roman" w:eastAsia="Times New Roman" w:hAnsi="Times New Roman"/>
                <w:b/>
                <w:bCs/>
                <w:lang w:eastAsia="es-CO"/>
              </w:rPr>
            </w:pPr>
            <w:r w:rsidRPr="00716208">
              <w:rPr>
                <w:rFonts w:ascii="Times New Roman" w:eastAsia="Times New Roman" w:hAnsi="Times New Roman"/>
                <w:b/>
                <w:bCs/>
                <w:lang w:eastAsia="es-CO"/>
              </w:rPr>
              <w:t>SALDO FINAL 2019</w:t>
            </w:r>
          </w:p>
        </w:tc>
        <w:tc>
          <w:tcPr>
            <w:tcW w:w="1835" w:type="dxa"/>
            <w:tcBorders>
              <w:top w:val="single" w:sz="4" w:space="0" w:color="auto"/>
              <w:left w:val="nil"/>
              <w:bottom w:val="single" w:sz="4" w:space="0" w:color="auto"/>
              <w:right w:val="single" w:sz="4" w:space="0" w:color="auto"/>
            </w:tcBorders>
            <w:shd w:val="clear" w:color="000000" w:fill="D9D9D9"/>
            <w:vAlign w:val="center"/>
            <w:hideMark/>
          </w:tcPr>
          <w:p w14:paraId="5CB28E0B" w14:textId="77777777" w:rsidR="00716208" w:rsidRPr="00716208" w:rsidRDefault="00716208" w:rsidP="00AB4D08">
            <w:pPr>
              <w:spacing w:after="0" w:line="240" w:lineRule="auto"/>
              <w:contextualSpacing/>
              <w:jc w:val="center"/>
              <w:rPr>
                <w:rFonts w:ascii="Times New Roman" w:eastAsia="Times New Roman" w:hAnsi="Times New Roman"/>
                <w:b/>
                <w:bCs/>
                <w:lang w:eastAsia="es-CO"/>
              </w:rPr>
            </w:pPr>
            <w:r w:rsidRPr="00716208">
              <w:rPr>
                <w:rFonts w:ascii="Times New Roman" w:eastAsia="Times New Roman" w:hAnsi="Times New Roman"/>
                <w:b/>
                <w:bCs/>
                <w:lang w:eastAsia="es-CO"/>
              </w:rPr>
              <w:t>SALDO FINAL 2018</w:t>
            </w:r>
          </w:p>
        </w:tc>
        <w:tc>
          <w:tcPr>
            <w:tcW w:w="1759" w:type="dxa"/>
            <w:tcBorders>
              <w:top w:val="single" w:sz="4" w:space="0" w:color="auto"/>
              <w:left w:val="nil"/>
              <w:bottom w:val="single" w:sz="4" w:space="0" w:color="auto"/>
              <w:right w:val="single" w:sz="4" w:space="0" w:color="auto"/>
            </w:tcBorders>
            <w:shd w:val="clear" w:color="000000" w:fill="D9D9D9"/>
            <w:vAlign w:val="center"/>
            <w:hideMark/>
          </w:tcPr>
          <w:p w14:paraId="490035FB" w14:textId="77777777" w:rsidR="00716208" w:rsidRPr="00716208" w:rsidRDefault="00716208" w:rsidP="00AB4D08">
            <w:pPr>
              <w:spacing w:after="0" w:line="240" w:lineRule="auto"/>
              <w:contextualSpacing/>
              <w:jc w:val="center"/>
              <w:rPr>
                <w:rFonts w:ascii="Times New Roman" w:eastAsia="Times New Roman" w:hAnsi="Times New Roman"/>
                <w:b/>
                <w:bCs/>
                <w:lang w:eastAsia="es-CO"/>
              </w:rPr>
            </w:pPr>
            <w:r w:rsidRPr="00716208">
              <w:rPr>
                <w:rFonts w:ascii="Times New Roman" w:eastAsia="Times New Roman" w:hAnsi="Times New Roman"/>
                <w:b/>
                <w:bCs/>
                <w:lang w:eastAsia="es-CO"/>
              </w:rPr>
              <w:t>VALOR VARIACIÓN</w:t>
            </w:r>
          </w:p>
        </w:tc>
      </w:tr>
      <w:tr w:rsidR="00716208" w:rsidRPr="00716208" w14:paraId="6ECD764B" w14:textId="77777777" w:rsidTr="00716208">
        <w:trPr>
          <w:trHeight w:val="302"/>
        </w:trPr>
        <w:tc>
          <w:tcPr>
            <w:tcW w:w="3002" w:type="dxa"/>
            <w:tcBorders>
              <w:top w:val="nil"/>
              <w:left w:val="single" w:sz="4" w:space="0" w:color="auto"/>
              <w:bottom w:val="single" w:sz="4" w:space="0" w:color="auto"/>
              <w:right w:val="single" w:sz="4" w:space="0" w:color="auto"/>
            </w:tcBorders>
            <w:shd w:val="clear" w:color="auto" w:fill="auto"/>
            <w:vAlign w:val="center"/>
            <w:hideMark/>
          </w:tcPr>
          <w:p w14:paraId="7BAE22FD" w14:textId="77777777" w:rsidR="00716208" w:rsidRPr="00716208" w:rsidRDefault="00716208" w:rsidP="00AB4D08">
            <w:pPr>
              <w:spacing w:after="0" w:line="240" w:lineRule="auto"/>
              <w:contextualSpacing/>
              <w:jc w:val="center"/>
              <w:rPr>
                <w:rFonts w:ascii="Times New Roman" w:eastAsia="Times New Roman" w:hAnsi="Times New Roman"/>
                <w:b/>
                <w:bCs/>
                <w:color w:val="000000"/>
                <w:lang w:eastAsia="es-CO"/>
              </w:rPr>
            </w:pPr>
            <w:r w:rsidRPr="00716208">
              <w:rPr>
                <w:rFonts w:ascii="Times New Roman" w:eastAsia="Times New Roman" w:hAnsi="Times New Roman"/>
                <w:b/>
                <w:bCs/>
                <w:color w:val="000000"/>
                <w:lang w:eastAsia="es-CO"/>
              </w:rPr>
              <w:t>PROVISIONES</w:t>
            </w:r>
          </w:p>
        </w:tc>
        <w:tc>
          <w:tcPr>
            <w:tcW w:w="1835" w:type="dxa"/>
            <w:tcBorders>
              <w:top w:val="nil"/>
              <w:left w:val="nil"/>
              <w:bottom w:val="single" w:sz="4" w:space="0" w:color="auto"/>
              <w:right w:val="single" w:sz="4" w:space="0" w:color="auto"/>
            </w:tcBorders>
            <w:shd w:val="clear" w:color="auto" w:fill="auto"/>
            <w:noWrap/>
            <w:vAlign w:val="center"/>
            <w:hideMark/>
          </w:tcPr>
          <w:p w14:paraId="62813FC4" w14:textId="77777777" w:rsidR="00716208" w:rsidRPr="00716208" w:rsidRDefault="00716208" w:rsidP="00AB4D08">
            <w:pPr>
              <w:spacing w:after="0" w:line="240" w:lineRule="auto"/>
              <w:contextualSpacing/>
              <w:jc w:val="right"/>
              <w:rPr>
                <w:rFonts w:ascii="Times New Roman" w:eastAsia="Times New Roman" w:hAnsi="Times New Roman"/>
                <w:b/>
                <w:bCs/>
                <w:color w:val="000000"/>
                <w:lang w:eastAsia="es-CO"/>
              </w:rPr>
            </w:pPr>
            <w:r w:rsidRPr="00716208">
              <w:rPr>
                <w:rFonts w:ascii="Times New Roman" w:eastAsia="Times New Roman" w:hAnsi="Times New Roman"/>
                <w:b/>
                <w:bCs/>
                <w:color w:val="000000"/>
                <w:lang w:eastAsia="es-CO"/>
              </w:rPr>
              <w:t>66.738.711.704</w:t>
            </w:r>
          </w:p>
        </w:tc>
        <w:tc>
          <w:tcPr>
            <w:tcW w:w="1835" w:type="dxa"/>
            <w:tcBorders>
              <w:top w:val="nil"/>
              <w:left w:val="nil"/>
              <w:bottom w:val="single" w:sz="4" w:space="0" w:color="auto"/>
              <w:right w:val="single" w:sz="4" w:space="0" w:color="auto"/>
            </w:tcBorders>
            <w:shd w:val="clear" w:color="auto" w:fill="auto"/>
            <w:noWrap/>
            <w:vAlign w:val="center"/>
            <w:hideMark/>
          </w:tcPr>
          <w:p w14:paraId="137825C9" w14:textId="77777777" w:rsidR="00716208" w:rsidRPr="00716208" w:rsidRDefault="00716208" w:rsidP="00AB4D08">
            <w:pPr>
              <w:spacing w:after="0" w:line="240" w:lineRule="auto"/>
              <w:contextualSpacing/>
              <w:jc w:val="right"/>
              <w:rPr>
                <w:rFonts w:ascii="Times New Roman" w:eastAsia="Times New Roman" w:hAnsi="Times New Roman"/>
                <w:b/>
                <w:bCs/>
                <w:color w:val="000000"/>
                <w:lang w:eastAsia="es-CO"/>
              </w:rPr>
            </w:pPr>
            <w:r w:rsidRPr="00716208">
              <w:rPr>
                <w:rFonts w:ascii="Times New Roman" w:eastAsia="Times New Roman" w:hAnsi="Times New Roman"/>
                <w:b/>
                <w:bCs/>
                <w:color w:val="000000"/>
                <w:lang w:eastAsia="es-CO"/>
              </w:rPr>
              <w:t>60.862.575.892</w:t>
            </w:r>
          </w:p>
        </w:tc>
        <w:tc>
          <w:tcPr>
            <w:tcW w:w="1759" w:type="dxa"/>
            <w:tcBorders>
              <w:top w:val="nil"/>
              <w:left w:val="nil"/>
              <w:bottom w:val="single" w:sz="4" w:space="0" w:color="auto"/>
              <w:right w:val="single" w:sz="4" w:space="0" w:color="auto"/>
            </w:tcBorders>
            <w:shd w:val="clear" w:color="auto" w:fill="auto"/>
            <w:noWrap/>
            <w:vAlign w:val="center"/>
            <w:hideMark/>
          </w:tcPr>
          <w:p w14:paraId="034E52DC" w14:textId="77777777" w:rsidR="00716208" w:rsidRPr="00716208" w:rsidRDefault="00716208" w:rsidP="00AB4D08">
            <w:pPr>
              <w:spacing w:after="0" w:line="240" w:lineRule="auto"/>
              <w:contextualSpacing/>
              <w:jc w:val="right"/>
              <w:rPr>
                <w:rFonts w:ascii="Times New Roman" w:eastAsia="Times New Roman" w:hAnsi="Times New Roman"/>
                <w:b/>
                <w:bCs/>
                <w:color w:val="000000"/>
                <w:lang w:eastAsia="es-CO"/>
              </w:rPr>
            </w:pPr>
            <w:r w:rsidRPr="00716208">
              <w:rPr>
                <w:rFonts w:ascii="Times New Roman" w:eastAsia="Times New Roman" w:hAnsi="Times New Roman"/>
                <w:b/>
                <w:bCs/>
                <w:color w:val="000000"/>
                <w:lang w:eastAsia="es-CO"/>
              </w:rPr>
              <w:t>5.876.135.812</w:t>
            </w:r>
          </w:p>
        </w:tc>
      </w:tr>
      <w:tr w:rsidR="00716208" w:rsidRPr="00716208" w14:paraId="61B82DC3" w14:textId="77777777" w:rsidTr="00716208">
        <w:trPr>
          <w:trHeight w:val="302"/>
        </w:trPr>
        <w:tc>
          <w:tcPr>
            <w:tcW w:w="3002" w:type="dxa"/>
            <w:tcBorders>
              <w:top w:val="nil"/>
              <w:left w:val="single" w:sz="4" w:space="0" w:color="auto"/>
              <w:bottom w:val="single" w:sz="4" w:space="0" w:color="auto"/>
              <w:right w:val="single" w:sz="4" w:space="0" w:color="auto"/>
            </w:tcBorders>
            <w:shd w:val="clear" w:color="auto" w:fill="auto"/>
            <w:vAlign w:val="center"/>
            <w:hideMark/>
          </w:tcPr>
          <w:p w14:paraId="5B401A2D" w14:textId="77777777" w:rsidR="00716208" w:rsidRPr="00716208" w:rsidRDefault="00716208" w:rsidP="00AB4D08">
            <w:pPr>
              <w:spacing w:after="0" w:line="240" w:lineRule="auto"/>
              <w:contextualSpacing/>
              <w:rPr>
                <w:rFonts w:ascii="Times New Roman" w:eastAsia="Times New Roman" w:hAnsi="Times New Roman"/>
                <w:color w:val="000000"/>
                <w:lang w:eastAsia="es-CO"/>
              </w:rPr>
            </w:pPr>
            <w:r w:rsidRPr="00716208">
              <w:rPr>
                <w:rFonts w:ascii="Times New Roman" w:eastAsia="Times New Roman" w:hAnsi="Times New Roman"/>
                <w:color w:val="000000"/>
                <w:lang w:eastAsia="es-CO"/>
              </w:rPr>
              <w:t>Litigios y demandas</w:t>
            </w:r>
          </w:p>
        </w:tc>
        <w:tc>
          <w:tcPr>
            <w:tcW w:w="1835" w:type="dxa"/>
            <w:tcBorders>
              <w:top w:val="nil"/>
              <w:left w:val="nil"/>
              <w:bottom w:val="single" w:sz="4" w:space="0" w:color="auto"/>
              <w:right w:val="single" w:sz="4" w:space="0" w:color="auto"/>
            </w:tcBorders>
            <w:shd w:val="clear" w:color="auto" w:fill="auto"/>
            <w:noWrap/>
            <w:vAlign w:val="center"/>
            <w:hideMark/>
          </w:tcPr>
          <w:p w14:paraId="453915BA" w14:textId="77777777" w:rsidR="00716208" w:rsidRPr="00716208" w:rsidRDefault="00716208" w:rsidP="00AB4D08">
            <w:pPr>
              <w:spacing w:after="0" w:line="240" w:lineRule="auto"/>
              <w:contextualSpacing/>
              <w:jc w:val="right"/>
              <w:rPr>
                <w:rFonts w:ascii="Times New Roman" w:eastAsia="Times New Roman" w:hAnsi="Times New Roman"/>
                <w:color w:val="000000"/>
                <w:lang w:eastAsia="es-CO"/>
              </w:rPr>
            </w:pPr>
            <w:r w:rsidRPr="00716208">
              <w:rPr>
                <w:rFonts w:ascii="Times New Roman" w:eastAsia="Times New Roman" w:hAnsi="Times New Roman"/>
                <w:color w:val="000000"/>
                <w:lang w:eastAsia="es-CO"/>
              </w:rPr>
              <w:t>66.738.711.704</w:t>
            </w:r>
          </w:p>
        </w:tc>
        <w:tc>
          <w:tcPr>
            <w:tcW w:w="1835" w:type="dxa"/>
            <w:tcBorders>
              <w:top w:val="nil"/>
              <w:left w:val="nil"/>
              <w:bottom w:val="single" w:sz="4" w:space="0" w:color="auto"/>
              <w:right w:val="single" w:sz="4" w:space="0" w:color="auto"/>
            </w:tcBorders>
            <w:shd w:val="clear" w:color="auto" w:fill="auto"/>
            <w:noWrap/>
            <w:vAlign w:val="center"/>
            <w:hideMark/>
          </w:tcPr>
          <w:p w14:paraId="3A035132" w14:textId="77777777" w:rsidR="00716208" w:rsidRPr="00716208" w:rsidRDefault="00716208" w:rsidP="00AB4D08">
            <w:pPr>
              <w:spacing w:after="0" w:line="240" w:lineRule="auto"/>
              <w:contextualSpacing/>
              <w:jc w:val="right"/>
              <w:rPr>
                <w:rFonts w:ascii="Times New Roman" w:eastAsia="Times New Roman" w:hAnsi="Times New Roman"/>
                <w:color w:val="000000"/>
                <w:lang w:eastAsia="es-CO"/>
              </w:rPr>
            </w:pPr>
            <w:r w:rsidRPr="00716208">
              <w:rPr>
                <w:rFonts w:ascii="Times New Roman" w:eastAsia="Times New Roman" w:hAnsi="Times New Roman"/>
                <w:color w:val="000000"/>
                <w:lang w:eastAsia="es-CO"/>
              </w:rPr>
              <w:t>60.862.575.892</w:t>
            </w:r>
          </w:p>
        </w:tc>
        <w:tc>
          <w:tcPr>
            <w:tcW w:w="1759" w:type="dxa"/>
            <w:tcBorders>
              <w:top w:val="nil"/>
              <w:left w:val="nil"/>
              <w:bottom w:val="single" w:sz="4" w:space="0" w:color="auto"/>
              <w:right w:val="single" w:sz="4" w:space="0" w:color="auto"/>
            </w:tcBorders>
            <w:shd w:val="clear" w:color="auto" w:fill="auto"/>
            <w:noWrap/>
            <w:vAlign w:val="center"/>
            <w:hideMark/>
          </w:tcPr>
          <w:p w14:paraId="2C4EAFBA" w14:textId="77777777" w:rsidR="00716208" w:rsidRPr="00716208" w:rsidRDefault="00716208" w:rsidP="00AB4D08">
            <w:pPr>
              <w:spacing w:after="0" w:line="240" w:lineRule="auto"/>
              <w:contextualSpacing/>
              <w:jc w:val="right"/>
              <w:rPr>
                <w:rFonts w:ascii="Times New Roman" w:eastAsia="Times New Roman" w:hAnsi="Times New Roman"/>
                <w:color w:val="000000"/>
                <w:lang w:eastAsia="es-CO"/>
              </w:rPr>
            </w:pPr>
            <w:r w:rsidRPr="00716208">
              <w:rPr>
                <w:rFonts w:ascii="Times New Roman" w:eastAsia="Times New Roman" w:hAnsi="Times New Roman"/>
                <w:color w:val="000000"/>
                <w:lang w:eastAsia="es-CO"/>
              </w:rPr>
              <w:t>5.876.135.812</w:t>
            </w:r>
          </w:p>
        </w:tc>
      </w:tr>
    </w:tbl>
    <w:p w14:paraId="31A55692" w14:textId="77777777" w:rsidR="00716208" w:rsidRDefault="00716208" w:rsidP="00AB4D08">
      <w:pPr>
        <w:spacing w:after="0" w:line="240" w:lineRule="auto"/>
        <w:ind w:left="567"/>
        <w:contextualSpacing/>
        <w:jc w:val="both"/>
        <w:rPr>
          <w:rFonts w:ascii="Times New Roman" w:eastAsia="Arial" w:hAnsi="Times New Roman"/>
          <w:sz w:val="24"/>
          <w:szCs w:val="24"/>
        </w:rPr>
      </w:pPr>
    </w:p>
    <w:p w14:paraId="38165355" w14:textId="77777777" w:rsidR="00475204" w:rsidRDefault="00475204" w:rsidP="00AB4D08">
      <w:pPr>
        <w:pStyle w:val="Prrafodelista"/>
        <w:spacing w:after="0" w:line="240" w:lineRule="auto"/>
        <w:jc w:val="both"/>
        <w:rPr>
          <w:rFonts w:ascii="Times New Roman" w:eastAsia="Arial" w:hAnsi="Times New Roman"/>
          <w:sz w:val="24"/>
          <w:szCs w:val="24"/>
        </w:rPr>
      </w:pPr>
    </w:p>
    <w:p w14:paraId="49FD0D7E" w14:textId="7E982AAA" w:rsidR="00CC0FF9" w:rsidRDefault="00CC0FF9" w:rsidP="00AB4D08">
      <w:pPr>
        <w:spacing w:after="0" w:line="240" w:lineRule="auto"/>
        <w:ind w:left="567"/>
        <w:contextualSpacing/>
        <w:jc w:val="both"/>
      </w:pPr>
      <w:r w:rsidRPr="00E025D2">
        <w:rPr>
          <w:rFonts w:ascii="Times New Roman" w:eastAsia="Arial" w:hAnsi="Times New Roman"/>
          <w:sz w:val="24"/>
          <w:szCs w:val="24"/>
        </w:rPr>
        <w:t>El incremento en los litigios durante la vigencia 2019 por valor de $5.876.135.812 obedece principalmente al registro de la provisión del proceso administrativo 2012-00571 por $3.617.342.078 que tuvo un primer fallo desfavorable, igualmente al registro de nuevos procesos y actualización de la provisión por valor de $4.078.386.836 y la disminución por recuperación de provisiones o clasificación al pasivo real por valor de $1.819.593.102.</w:t>
      </w:r>
    </w:p>
    <w:p w14:paraId="0BFB749E" w14:textId="77777777" w:rsidR="00CC0FF9" w:rsidRPr="00475204" w:rsidRDefault="00CC0FF9" w:rsidP="00AB4D08">
      <w:pPr>
        <w:spacing w:after="0" w:line="240" w:lineRule="auto"/>
        <w:contextualSpacing/>
        <w:jc w:val="both"/>
        <w:rPr>
          <w:rFonts w:ascii="Times New Roman" w:hAnsi="Times New Roman"/>
          <w:sz w:val="24"/>
          <w:szCs w:val="24"/>
          <w:u w:val="single"/>
        </w:rPr>
      </w:pPr>
    </w:p>
    <w:p w14:paraId="16CB2E2E" w14:textId="77777777" w:rsidR="00475204" w:rsidRDefault="00475204"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A continuación se presenta el movimiento de las provisiones registradas durante el 201</w:t>
      </w:r>
      <w:r>
        <w:rPr>
          <w:rFonts w:ascii="Times New Roman" w:eastAsia="Arial" w:hAnsi="Times New Roman"/>
          <w:sz w:val="24"/>
          <w:szCs w:val="24"/>
        </w:rPr>
        <w:t>9</w:t>
      </w:r>
      <w:r w:rsidRPr="002E4A43">
        <w:rPr>
          <w:rFonts w:ascii="Times New Roman" w:eastAsia="Arial" w:hAnsi="Times New Roman"/>
          <w:sz w:val="24"/>
          <w:szCs w:val="24"/>
        </w:rPr>
        <w:t>:</w:t>
      </w:r>
    </w:p>
    <w:p w14:paraId="32E7FF7A" w14:textId="77777777" w:rsidR="00716208" w:rsidRDefault="00716208" w:rsidP="00AB4D08">
      <w:pPr>
        <w:spacing w:after="0" w:line="240" w:lineRule="auto"/>
        <w:ind w:left="567"/>
        <w:contextualSpacing/>
        <w:jc w:val="both"/>
        <w:rPr>
          <w:rFonts w:ascii="Times New Roman" w:eastAsia="Arial" w:hAnsi="Times New Roman"/>
          <w:sz w:val="24"/>
          <w:szCs w:val="24"/>
        </w:rPr>
      </w:pPr>
    </w:p>
    <w:p w14:paraId="48C15F5F" w14:textId="4632C0EA" w:rsidR="007A0A1C" w:rsidRDefault="00716208" w:rsidP="00AB4D08">
      <w:pPr>
        <w:spacing w:after="0" w:line="240" w:lineRule="auto"/>
        <w:contextualSpacing/>
        <w:jc w:val="both"/>
        <w:rPr>
          <w:rFonts w:ascii="Times New Roman" w:hAnsi="Times New Roman"/>
          <w:sz w:val="24"/>
          <w:szCs w:val="24"/>
          <w:u w:val="single"/>
        </w:rPr>
      </w:pPr>
      <w:r w:rsidRPr="00716208">
        <w:rPr>
          <w:noProof/>
          <w:lang w:eastAsia="es-CO"/>
        </w:rPr>
        <w:drawing>
          <wp:inline distT="0" distB="0" distL="0" distR="0" wp14:anchorId="5FDBABE1" wp14:editId="5FB50FF1">
            <wp:extent cx="5581650" cy="1080425"/>
            <wp:effectExtent l="0" t="0" r="0" b="571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3851" cy="1082787"/>
                    </a:xfrm>
                    <a:prstGeom prst="rect">
                      <a:avLst/>
                    </a:prstGeom>
                    <a:noFill/>
                    <a:ln>
                      <a:noFill/>
                    </a:ln>
                  </pic:spPr>
                </pic:pic>
              </a:graphicData>
            </a:graphic>
          </wp:inline>
        </w:drawing>
      </w:r>
    </w:p>
    <w:p w14:paraId="308E4205" w14:textId="2C04E04D" w:rsidR="00475204" w:rsidRDefault="00475204" w:rsidP="00AB4D08">
      <w:pPr>
        <w:spacing w:after="0" w:line="240" w:lineRule="auto"/>
        <w:contextualSpacing/>
        <w:jc w:val="both"/>
        <w:rPr>
          <w:rFonts w:ascii="Times New Roman" w:hAnsi="Times New Roman"/>
          <w:sz w:val="24"/>
          <w:szCs w:val="24"/>
          <w:u w:val="single"/>
        </w:rPr>
      </w:pPr>
    </w:p>
    <w:p w14:paraId="115AF748" w14:textId="77777777" w:rsidR="00475204" w:rsidRDefault="00475204"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t>De acuerdo con el tiempo estimado para que se presente fallo, se presenta el siguiente detalle:</w:t>
      </w:r>
    </w:p>
    <w:p w14:paraId="252812C3" w14:textId="77777777" w:rsidR="00716208" w:rsidRDefault="00716208" w:rsidP="00AB4D08">
      <w:pPr>
        <w:spacing w:after="0" w:line="240" w:lineRule="auto"/>
        <w:ind w:left="567"/>
        <w:contextualSpacing/>
        <w:jc w:val="both"/>
        <w:rPr>
          <w:rFonts w:ascii="Times New Roman" w:eastAsia="Arial" w:hAnsi="Times New Roman"/>
          <w:sz w:val="24"/>
          <w:szCs w:val="24"/>
        </w:rPr>
      </w:pPr>
    </w:p>
    <w:p w14:paraId="1F2F0C85" w14:textId="3E7188B5" w:rsidR="00716208" w:rsidRDefault="00716208" w:rsidP="00AB4D08">
      <w:pPr>
        <w:spacing w:after="0" w:line="240" w:lineRule="auto"/>
        <w:contextualSpacing/>
        <w:jc w:val="both"/>
        <w:rPr>
          <w:rFonts w:ascii="Times New Roman" w:eastAsia="Arial" w:hAnsi="Times New Roman"/>
          <w:sz w:val="24"/>
          <w:szCs w:val="24"/>
        </w:rPr>
      </w:pPr>
      <w:r w:rsidRPr="00716208">
        <w:rPr>
          <w:noProof/>
          <w:lang w:eastAsia="es-CO"/>
        </w:rPr>
        <w:drawing>
          <wp:inline distT="0" distB="0" distL="0" distR="0" wp14:anchorId="460B6525" wp14:editId="2C7244D9">
            <wp:extent cx="5581816" cy="753745"/>
            <wp:effectExtent l="0" t="0" r="0" b="825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8875" cy="754698"/>
                    </a:xfrm>
                    <a:prstGeom prst="rect">
                      <a:avLst/>
                    </a:prstGeom>
                    <a:noFill/>
                    <a:ln>
                      <a:noFill/>
                    </a:ln>
                  </pic:spPr>
                </pic:pic>
              </a:graphicData>
            </a:graphic>
          </wp:inline>
        </w:drawing>
      </w:r>
    </w:p>
    <w:p w14:paraId="0D6490B2" w14:textId="77777777" w:rsidR="00716208" w:rsidRDefault="00716208" w:rsidP="00AB4D08">
      <w:pPr>
        <w:spacing w:after="0" w:line="240" w:lineRule="auto"/>
        <w:ind w:left="567"/>
        <w:contextualSpacing/>
        <w:jc w:val="both"/>
        <w:rPr>
          <w:rFonts w:ascii="Times New Roman" w:eastAsia="Arial" w:hAnsi="Times New Roman"/>
          <w:sz w:val="24"/>
          <w:szCs w:val="24"/>
        </w:rPr>
      </w:pPr>
    </w:p>
    <w:p w14:paraId="4A7366A2" w14:textId="77777777" w:rsidR="00E90A32" w:rsidRDefault="00E90A32" w:rsidP="00AB4D08">
      <w:pPr>
        <w:spacing w:after="0" w:line="240" w:lineRule="auto"/>
        <w:ind w:left="567"/>
        <w:contextualSpacing/>
        <w:jc w:val="both"/>
        <w:rPr>
          <w:rFonts w:ascii="Times New Roman" w:eastAsia="Arial" w:hAnsi="Times New Roman"/>
          <w:sz w:val="24"/>
          <w:szCs w:val="24"/>
        </w:rPr>
      </w:pPr>
    </w:p>
    <w:p w14:paraId="48352DA5" w14:textId="77777777" w:rsidR="00E90A32" w:rsidRDefault="00E90A32" w:rsidP="00AB4D08">
      <w:pPr>
        <w:spacing w:after="0" w:line="240" w:lineRule="auto"/>
        <w:ind w:left="567"/>
        <w:contextualSpacing/>
        <w:jc w:val="both"/>
        <w:rPr>
          <w:rFonts w:ascii="Times New Roman" w:eastAsia="Arial" w:hAnsi="Times New Roman"/>
          <w:sz w:val="24"/>
          <w:szCs w:val="24"/>
        </w:rPr>
      </w:pPr>
    </w:p>
    <w:p w14:paraId="3B24DB3F" w14:textId="77777777" w:rsidR="00E90A32" w:rsidRDefault="00E90A32" w:rsidP="00AB4D08">
      <w:pPr>
        <w:spacing w:after="0" w:line="240" w:lineRule="auto"/>
        <w:ind w:left="567"/>
        <w:contextualSpacing/>
        <w:jc w:val="both"/>
        <w:rPr>
          <w:rFonts w:ascii="Times New Roman" w:eastAsia="Arial" w:hAnsi="Times New Roman"/>
          <w:sz w:val="24"/>
          <w:szCs w:val="24"/>
        </w:rPr>
      </w:pPr>
    </w:p>
    <w:p w14:paraId="0FFBE498" w14:textId="77777777" w:rsidR="00E90A32" w:rsidRDefault="00E90A32" w:rsidP="00AB4D08">
      <w:pPr>
        <w:spacing w:after="0" w:line="240" w:lineRule="auto"/>
        <w:ind w:left="567"/>
        <w:contextualSpacing/>
        <w:jc w:val="both"/>
        <w:rPr>
          <w:rFonts w:ascii="Times New Roman" w:eastAsia="Arial" w:hAnsi="Times New Roman"/>
          <w:sz w:val="24"/>
          <w:szCs w:val="24"/>
        </w:rPr>
      </w:pPr>
    </w:p>
    <w:p w14:paraId="68F9D8EE" w14:textId="77777777" w:rsidR="00475204" w:rsidRPr="002E4A43" w:rsidRDefault="00475204" w:rsidP="00AB4D08">
      <w:pPr>
        <w:spacing w:after="0" w:line="240" w:lineRule="auto"/>
        <w:ind w:left="567"/>
        <w:contextualSpacing/>
        <w:jc w:val="both"/>
        <w:rPr>
          <w:rFonts w:ascii="Times New Roman" w:eastAsia="Arial" w:hAnsi="Times New Roman"/>
          <w:sz w:val="24"/>
          <w:szCs w:val="24"/>
        </w:rPr>
      </w:pPr>
      <w:r w:rsidRPr="002E4A43">
        <w:rPr>
          <w:rFonts w:ascii="Times New Roman" w:eastAsia="Arial" w:hAnsi="Times New Roman"/>
          <w:sz w:val="24"/>
          <w:szCs w:val="24"/>
        </w:rPr>
        <w:lastRenderedPageBreak/>
        <w:t>A continuación se relaciona el estado de los principales procesos de acuerdo con la clasificación anterior:</w:t>
      </w:r>
    </w:p>
    <w:p w14:paraId="141F761B" w14:textId="77777777" w:rsidR="00475204" w:rsidRDefault="00475204" w:rsidP="00AB4D08">
      <w:pPr>
        <w:spacing w:after="0" w:line="240" w:lineRule="auto"/>
        <w:contextualSpacing/>
        <w:jc w:val="both"/>
        <w:rPr>
          <w:rFonts w:ascii="Times New Roman" w:hAnsi="Times New Roman"/>
          <w:sz w:val="24"/>
          <w:szCs w:val="24"/>
          <w:u w:val="single"/>
        </w:rPr>
      </w:pPr>
    </w:p>
    <w:p w14:paraId="59EF618B" w14:textId="08902748" w:rsidR="00475204" w:rsidRDefault="00475204" w:rsidP="00AB4D08">
      <w:pPr>
        <w:spacing w:after="0" w:line="240" w:lineRule="auto"/>
        <w:contextualSpacing/>
        <w:jc w:val="both"/>
        <w:rPr>
          <w:rFonts w:ascii="Times New Roman" w:hAnsi="Times New Roman"/>
          <w:sz w:val="24"/>
          <w:szCs w:val="24"/>
          <w:u w:val="single"/>
        </w:rPr>
      </w:pPr>
      <w:r>
        <w:rPr>
          <w:rFonts w:ascii="Times New Roman" w:eastAsia="Arial" w:hAnsi="Times New Roman"/>
          <w:noProof/>
          <w:sz w:val="24"/>
          <w:szCs w:val="24"/>
        </w:rPr>
        <w:object w:dxaOrig="10567" w:dyaOrig="5944" w14:anchorId="63568098">
          <v:shape id="_x0000_i1031" type="#_x0000_t75" style="width:400.1pt;height:224.15pt" o:ole="">
            <v:imagedata r:id="rId74" o:title=""/>
          </v:shape>
          <o:OLEObject Type="Embed" ProgID="Excel.Sheet.12" ShapeID="_x0000_i1031" DrawAspect="Content" ObjectID="_1643096355" r:id="rId75"/>
        </w:object>
      </w:r>
    </w:p>
    <w:p w14:paraId="4F7E052F" w14:textId="77777777" w:rsidR="00475204" w:rsidRDefault="00475204" w:rsidP="00AB4D08">
      <w:pPr>
        <w:spacing w:after="0" w:line="240" w:lineRule="auto"/>
        <w:contextualSpacing/>
        <w:jc w:val="both"/>
        <w:rPr>
          <w:rFonts w:ascii="Times New Roman" w:hAnsi="Times New Roman"/>
          <w:sz w:val="24"/>
          <w:szCs w:val="24"/>
          <w:u w:val="single"/>
        </w:rPr>
      </w:pPr>
    </w:p>
    <w:p w14:paraId="167F85AE" w14:textId="4C8B9541" w:rsidR="00475204" w:rsidRDefault="00475204" w:rsidP="00AB4D08">
      <w:pPr>
        <w:spacing w:after="0" w:line="240" w:lineRule="auto"/>
        <w:contextualSpacing/>
        <w:jc w:val="both"/>
        <w:rPr>
          <w:rFonts w:ascii="Times New Roman" w:hAnsi="Times New Roman"/>
          <w:sz w:val="24"/>
          <w:szCs w:val="24"/>
          <w:u w:val="single"/>
        </w:rPr>
      </w:pPr>
      <w:r>
        <w:rPr>
          <w:rFonts w:ascii="Times New Roman" w:eastAsia="Arial" w:hAnsi="Times New Roman"/>
          <w:sz w:val="24"/>
          <w:szCs w:val="24"/>
        </w:rPr>
        <w:object w:dxaOrig="10567" w:dyaOrig="8496" w14:anchorId="2547BF88">
          <v:shape id="_x0000_i1032" type="#_x0000_t75" style="width:419.75pt;height:337.6pt" o:ole="">
            <v:imagedata r:id="rId76" o:title=""/>
          </v:shape>
          <o:OLEObject Type="Embed" ProgID="Excel.Sheet.12" ShapeID="_x0000_i1032" DrawAspect="Content" ObjectID="_1643096356" r:id="rId77"/>
        </w:object>
      </w:r>
    </w:p>
    <w:p w14:paraId="423ED5EA" w14:textId="77777777" w:rsidR="00C35F05" w:rsidRPr="00854CA4" w:rsidRDefault="00C35F05" w:rsidP="00AB4D08">
      <w:pPr>
        <w:pStyle w:val="Prrafodelista"/>
        <w:spacing w:after="0" w:line="240" w:lineRule="auto"/>
        <w:ind w:left="0"/>
        <w:jc w:val="both"/>
        <w:rPr>
          <w:rFonts w:ascii="Times New Roman" w:hAnsi="Times New Roman"/>
          <w:sz w:val="24"/>
          <w:szCs w:val="24"/>
        </w:rPr>
      </w:pPr>
    </w:p>
    <w:p w14:paraId="7FA14B05" w14:textId="2988A36D" w:rsidR="00C35F05" w:rsidRPr="00854CA4" w:rsidRDefault="00C35F05" w:rsidP="00AB4D08">
      <w:pPr>
        <w:pStyle w:val="Ttulo1"/>
        <w:contextualSpacing/>
        <w:rPr>
          <w:rFonts w:cs="Times New Roman"/>
          <w:sz w:val="24"/>
          <w:szCs w:val="24"/>
        </w:rPr>
      </w:pPr>
      <w:bookmarkStart w:id="69" w:name="_Toc32317281"/>
      <w:r w:rsidRPr="00854CA4">
        <w:rPr>
          <w:rFonts w:cs="Times New Roman"/>
          <w:sz w:val="24"/>
          <w:szCs w:val="24"/>
        </w:rPr>
        <w:lastRenderedPageBreak/>
        <w:t>NOTA 2</w:t>
      </w:r>
      <w:r w:rsidR="00521FE4" w:rsidRPr="00854CA4">
        <w:rPr>
          <w:rFonts w:cs="Times New Roman"/>
          <w:sz w:val="24"/>
          <w:szCs w:val="24"/>
        </w:rPr>
        <w:t>4</w:t>
      </w:r>
      <w:r w:rsidRPr="00854CA4">
        <w:rPr>
          <w:rFonts w:cs="Times New Roman"/>
          <w:sz w:val="24"/>
          <w:szCs w:val="24"/>
        </w:rPr>
        <w:t>. OTROS PASIVOS</w:t>
      </w:r>
      <w:bookmarkEnd w:id="69"/>
    </w:p>
    <w:p w14:paraId="69C7F6ED" w14:textId="77777777" w:rsidR="00C35F05" w:rsidRPr="00854CA4" w:rsidRDefault="00C35F05" w:rsidP="00AB4D08">
      <w:pPr>
        <w:spacing w:after="0" w:line="240" w:lineRule="auto"/>
        <w:contextualSpacing/>
        <w:jc w:val="both"/>
        <w:rPr>
          <w:rFonts w:ascii="Times New Roman" w:hAnsi="Times New Roman"/>
          <w:b/>
          <w:sz w:val="24"/>
          <w:szCs w:val="24"/>
        </w:rPr>
      </w:pPr>
    </w:p>
    <w:p w14:paraId="3758C288" w14:textId="49BC179F" w:rsidR="00C35F05" w:rsidRPr="00854CA4" w:rsidRDefault="00C35F05" w:rsidP="00AB4D08">
      <w:pPr>
        <w:pStyle w:val="Ttulo2"/>
        <w:numPr>
          <w:ilvl w:val="0"/>
          <w:numId w:val="0"/>
        </w:numPr>
        <w:spacing w:line="240" w:lineRule="auto"/>
        <w:contextualSpacing/>
        <w:rPr>
          <w:rFonts w:cs="Times New Roman"/>
          <w:szCs w:val="24"/>
        </w:rPr>
      </w:pPr>
      <w:bookmarkStart w:id="70" w:name="_Toc32317282"/>
      <w:r w:rsidRPr="00854CA4">
        <w:rPr>
          <w:rFonts w:cs="Times New Roman"/>
          <w:szCs w:val="24"/>
        </w:rPr>
        <w:t>Composición</w:t>
      </w:r>
      <w:bookmarkEnd w:id="70"/>
    </w:p>
    <w:p w14:paraId="632BAC7A" w14:textId="77777777" w:rsidR="00C35F05" w:rsidRPr="00854CA4" w:rsidRDefault="00C35F05" w:rsidP="00AB4D08">
      <w:pPr>
        <w:spacing w:after="0" w:line="240" w:lineRule="auto"/>
        <w:contextualSpacing/>
        <w:jc w:val="both"/>
        <w:rPr>
          <w:rFonts w:ascii="Times New Roman" w:hAnsi="Times New Roman"/>
          <w:b/>
          <w:sz w:val="24"/>
          <w:szCs w:val="24"/>
        </w:rPr>
      </w:pPr>
    </w:p>
    <w:p w14:paraId="130FAFEA" w14:textId="14882E52" w:rsidR="002A603E" w:rsidRDefault="002A603E" w:rsidP="00AB4D08">
      <w:pPr>
        <w:spacing w:line="240" w:lineRule="auto"/>
        <w:ind w:left="567"/>
        <w:contextualSpacing/>
        <w:jc w:val="both"/>
        <w:rPr>
          <w:rFonts w:ascii="Times New Roman" w:eastAsia="Arial" w:hAnsi="Times New Roman"/>
          <w:sz w:val="24"/>
          <w:szCs w:val="24"/>
        </w:rPr>
      </w:pPr>
      <w:r w:rsidRPr="00854CA4">
        <w:rPr>
          <w:rFonts w:ascii="Times New Roman" w:eastAsia="Arial" w:hAnsi="Times New Roman"/>
          <w:sz w:val="24"/>
          <w:szCs w:val="24"/>
        </w:rPr>
        <w:t xml:space="preserve">Al 31 de diciembre la cuenta </w:t>
      </w:r>
      <w:r w:rsidR="00854CA4">
        <w:rPr>
          <w:rFonts w:ascii="Times New Roman" w:eastAsia="Arial" w:hAnsi="Times New Roman"/>
          <w:sz w:val="24"/>
          <w:szCs w:val="24"/>
        </w:rPr>
        <w:t xml:space="preserve">de otros pasivos, </w:t>
      </w:r>
      <w:r w:rsidRPr="00854CA4">
        <w:rPr>
          <w:rFonts w:ascii="Times New Roman" w:eastAsia="Arial" w:hAnsi="Times New Roman"/>
          <w:sz w:val="24"/>
          <w:szCs w:val="24"/>
        </w:rPr>
        <w:t>está conformada así:</w:t>
      </w:r>
    </w:p>
    <w:p w14:paraId="1987B537" w14:textId="77777777" w:rsidR="00955050" w:rsidRPr="00877E4C" w:rsidRDefault="00955050" w:rsidP="00AB4D08">
      <w:pPr>
        <w:spacing w:line="240" w:lineRule="auto"/>
        <w:ind w:left="567"/>
        <w:contextualSpacing/>
        <w:jc w:val="both"/>
        <w:rPr>
          <w:rFonts w:ascii="Times New Roman" w:eastAsia="Arial" w:hAnsi="Times New Roman"/>
          <w:sz w:val="24"/>
          <w:szCs w:val="24"/>
        </w:rPr>
      </w:pPr>
    </w:p>
    <w:p w14:paraId="5F2E308E" w14:textId="09E70029" w:rsidR="00716208"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 xml:space="preserve"> </w:t>
      </w:r>
      <w:r w:rsidR="00716208" w:rsidRPr="00716208">
        <w:rPr>
          <w:noProof/>
          <w:lang w:eastAsia="es-CO"/>
        </w:rPr>
        <w:drawing>
          <wp:inline distT="0" distB="0" distL="0" distR="0" wp14:anchorId="0C308E1D" wp14:editId="1879A798">
            <wp:extent cx="4802505" cy="2154804"/>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1518" cy="2167822"/>
                    </a:xfrm>
                    <a:prstGeom prst="rect">
                      <a:avLst/>
                    </a:prstGeom>
                    <a:noFill/>
                    <a:ln>
                      <a:noFill/>
                    </a:ln>
                  </pic:spPr>
                </pic:pic>
              </a:graphicData>
            </a:graphic>
          </wp:inline>
        </w:drawing>
      </w:r>
    </w:p>
    <w:p w14:paraId="7B1EACC2" w14:textId="77777777" w:rsidR="00097846" w:rsidRPr="00877E4C" w:rsidRDefault="00097846" w:rsidP="00AB4D08">
      <w:pPr>
        <w:spacing w:line="240" w:lineRule="auto"/>
        <w:ind w:left="567"/>
        <w:contextualSpacing/>
        <w:jc w:val="both"/>
        <w:rPr>
          <w:rFonts w:ascii="Times New Roman" w:eastAsia="Arial" w:hAnsi="Times New Roman"/>
          <w:sz w:val="24"/>
          <w:szCs w:val="24"/>
        </w:rPr>
      </w:pPr>
    </w:p>
    <w:p w14:paraId="2E9F2706" w14:textId="252A9767" w:rsidR="002A603E" w:rsidRPr="00877E4C"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In</w:t>
      </w:r>
      <w:r w:rsidR="00854CA4">
        <w:rPr>
          <w:rFonts w:ascii="Times New Roman" w:eastAsia="Arial" w:hAnsi="Times New Roman"/>
          <w:sz w:val="24"/>
          <w:szCs w:val="24"/>
        </w:rPr>
        <w:t>gresos recibidos por Anticipado</w:t>
      </w:r>
    </w:p>
    <w:p w14:paraId="2AA8D3B8" w14:textId="77777777" w:rsidR="002A603E" w:rsidRPr="00877E4C"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 xml:space="preserve"> </w:t>
      </w:r>
    </w:p>
    <w:p w14:paraId="29CEF8B6" w14:textId="77777777" w:rsidR="002A603E" w:rsidRPr="00877E4C"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Este rubro representa los actos administrativos de valorización pendientes de ejecutoria por presentar reclamaciones de los Acuerdos 724 de 2018, 523 de 2013,  180 Fase I, Acuerdo 398 de 2009. El valor acumulado por este concepto a diciembre 31 de 2019 asciende a $31.173.610.488, (el 37% de otros pasivos).</w:t>
      </w:r>
    </w:p>
    <w:p w14:paraId="042820CF" w14:textId="77777777" w:rsidR="002A603E" w:rsidRPr="00877E4C"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 xml:space="preserve"> </w:t>
      </w:r>
    </w:p>
    <w:p w14:paraId="127F4BA4" w14:textId="77777777" w:rsidR="002A603E" w:rsidRDefault="002A603E" w:rsidP="00AB4D08">
      <w:pPr>
        <w:spacing w:line="240" w:lineRule="auto"/>
        <w:ind w:left="567"/>
        <w:contextualSpacing/>
        <w:jc w:val="both"/>
        <w:rPr>
          <w:rFonts w:ascii="Times New Roman" w:eastAsia="Arial" w:hAnsi="Times New Roman"/>
          <w:sz w:val="24"/>
          <w:szCs w:val="24"/>
        </w:rPr>
      </w:pPr>
      <w:r w:rsidRPr="00877E4C">
        <w:rPr>
          <w:rFonts w:ascii="Times New Roman" w:eastAsia="Arial" w:hAnsi="Times New Roman"/>
          <w:sz w:val="24"/>
          <w:szCs w:val="24"/>
        </w:rPr>
        <w:t>La variación en el mayor valor del saldo, con respecto a la vigencia 2018, se presenta por el recaudo recibido en virtud del Acuerdo 724 de 2018 y la Resolución 6224 del 19 de diciembre de 2018” Por la cual se fijan las políticas de cobro y recaudo de la contribución de valorización en cumplimiento de lo dispuesto en el Acuerdo 724 de 2018 y se dictan otras disposiciones”, en el artículo sexto, define las formas de pago:</w:t>
      </w:r>
    </w:p>
    <w:p w14:paraId="73CCB0A4" w14:textId="77777777" w:rsidR="00716208" w:rsidRDefault="00716208" w:rsidP="00AB4D08">
      <w:pPr>
        <w:spacing w:line="240" w:lineRule="auto"/>
        <w:ind w:left="567"/>
        <w:contextualSpacing/>
        <w:jc w:val="both"/>
        <w:rPr>
          <w:rFonts w:ascii="Times New Roman" w:eastAsia="Arial" w:hAnsi="Times New Roman"/>
          <w:sz w:val="24"/>
          <w:szCs w:val="24"/>
        </w:rPr>
      </w:pPr>
    </w:p>
    <w:tbl>
      <w:tblPr>
        <w:tblW w:w="7880" w:type="dxa"/>
        <w:tblInd w:w="482" w:type="dxa"/>
        <w:tblCellMar>
          <w:left w:w="70" w:type="dxa"/>
          <w:right w:w="70" w:type="dxa"/>
        </w:tblCellMar>
        <w:tblLook w:val="04A0" w:firstRow="1" w:lastRow="0" w:firstColumn="1" w:lastColumn="0" w:noHBand="0" w:noVBand="1"/>
      </w:tblPr>
      <w:tblGrid>
        <w:gridCol w:w="2240"/>
        <w:gridCol w:w="1720"/>
        <w:gridCol w:w="1560"/>
        <w:gridCol w:w="1640"/>
        <w:gridCol w:w="890"/>
      </w:tblGrid>
      <w:tr w:rsidR="00716208" w:rsidRPr="00716208" w14:paraId="2FDBD91B" w14:textId="77777777" w:rsidTr="00716208">
        <w:trPr>
          <w:trHeight w:val="330"/>
        </w:trPr>
        <w:tc>
          <w:tcPr>
            <w:tcW w:w="2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606445" w14:textId="77777777" w:rsidR="00716208" w:rsidRPr="00716208" w:rsidRDefault="00716208" w:rsidP="00AB4D08">
            <w:pPr>
              <w:spacing w:after="0" w:line="240" w:lineRule="auto"/>
              <w:contextualSpacing/>
              <w:jc w:val="center"/>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NOMBRE</w:t>
            </w:r>
          </w:p>
        </w:tc>
        <w:tc>
          <w:tcPr>
            <w:tcW w:w="1720" w:type="dxa"/>
            <w:tcBorders>
              <w:top w:val="single" w:sz="4" w:space="0" w:color="auto"/>
              <w:left w:val="nil"/>
              <w:bottom w:val="single" w:sz="4" w:space="0" w:color="auto"/>
              <w:right w:val="single" w:sz="4" w:space="0" w:color="auto"/>
            </w:tcBorders>
            <w:shd w:val="clear" w:color="000000" w:fill="D9D9D9"/>
            <w:noWrap/>
            <w:vAlign w:val="center"/>
            <w:hideMark/>
          </w:tcPr>
          <w:p w14:paraId="09F36298" w14:textId="77777777" w:rsidR="00716208" w:rsidRPr="00716208" w:rsidRDefault="00716208" w:rsidP="00AB4D08">
            <w:pPr>
              <w:spacing w:after="0" w:line="240" w:lineRule="auto"/>
              <w:contextualSpacing/>
              <w:jc w:val="center"/>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2019</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14:paraId="591A052F" w14:textId="77777777" w:rsidR="00716208" w:rsidRPr="00716208" w:rsidRDefault="00716208" w:rsidP="00AB4D08">
            <w:pPr>
              <w:spacing w:after="0" w:line="240" w:lineRule="auto"/>
              <w:contextualSpacing/>
              <w:jc w:val="center"/>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2018</w:t>
            </w:r>
          </w:p>
        </w:tc>
        <w:tc>
          <w:tcPr>
            <w:tcW w:w="1640" w:type="dxa"/>
            <w:tcBorders>
              <w:top w:val="single" w:sz="4" w:space="0" w:color="auto"/>
              <w:left w:val="nil"/>
              <w:bottom w:val="single" w:sz="4" w:space="0" w:color="auto"/>
              <w:right w:val="single" w:sz="4" w:space="0" w:color="auto"/>
            </w:tcBorders>
            <w:shd w:val="clear" w:color="000000" w:fill="D9D9D9"/>
            <w:noWrap/>
            <w:vAlign w:val="center"/>
            <w:hideMark/>
          </w:tcPr>
          <w:p w14:paraId="5645BD1B" w14:textId="77777777" w:rsidR="00716208" w:rsidRPr="00716208" w:rsidRDefault="00716208" w:rsidP="00AB4D08">
            <w:pPr>
              <w:spacing w:after="0" w:line="240" w:lineRule="auto"/>
              <w:contextualSpacing/>
              <w:jc w:val="center"/>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 xml:space="preserve">VARIACION </w:t>
            </w:r>
          </w:p>
        </w:tc>
        <w:tc>
          <w:tcPr>
            <w:tcW w:w="720" w:type="dxa"/>
            <w:tcBorders>
              <w:top w:val="single" w:sz="4" w:space="0" w:color="auto"/>
              <w:left w:val="nil"/>
              <w:bottom w:val="single" w:sz="4" w:space="0" w:color="auto"/>
              <w:right w:val="single" w:sz="4" w:space="0" w:color="auto"/>
            </w:tcBorders>
            <w:shd w:val="clear" w:color="000000" w:fill="D9D9D9"/>
            <w:noWrap/>
            <w:vAlign w:val="center"/>
            <w:hideMark/>
          </w:tcPr>
          <w:p w14:paraId="4C749744" w14:textId="77777777" w:rsidR="00716208" w:rsidRPr="00716208" w:rsidRDefault="00716208" w:rsidP="00AB4D08">
            <w:pPr>
              <w:spacing w:after="0" w:line="240" w:lineRule="auto"/>
              <w:contextualSpacing/>
              <w:jc w:val="center"/>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w:t>
            </w:r>
          </w:p>
        </w:tc>
      </w:tr>
      <w:tr w:rsidR="00716208" w:rsidRPr="00716208" w14:paraId="388FC92E" w14:textId="77777777" w:rsidTr="00716208">
        <w:trPr>
          <w:trHeight w:val="34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2024ACA3" w14:textId="77777777" w:rsidR="00716208" w:rsidRPr="00716208" w:rsidRDefault="00716208" w:rsidP="00AB4D08">
            <w:pPr>
              <w:spacing w:after="0" w:line="240" w:lineRule="auto"/>
              <w:contextualSpacing/>
              <w:rPr>
                <w:rFonts w:ascii="Times New Roman" w:eastAsia="Times New Roman" w:hAnsi="Times New Roman"/>
                <w:color w:val="000000"/>
                <w:sz w:val="20"/>
                <w:szCs w:val="20"/>
                <w:lang w:eastAsia="es-CO"/>
              </w:rPr>
            </w:pPr>
            <w:r w:rsidRPr="00716208">
              <w:rPr>
                <w:rFonts w:ascii="Times New Roman" w:eastAsia="Times New Roman" w:hAnsi="Times New Roman"/>
                <w:color w:val="000000"/>
                <w:sz w:val="20"/>
                <w:szCs w:val="20"/>
                <w:lang w:eastAsia="es-CO"/>
              </w:rPr>
              <w:t>CONTRIBUCIONES</w:t>
            </w:r>
          </w:p>
        </w:tc>
        <w:tc>
          <w:tcPr>
            <w:tcW w:w="1720" w:type="dxa"/>
            <w:tcBorders>
              <w:top w:val="nil"/>
              <w:left w:val="nil"/>
              <w:bottom w:val="single" w:sz="4" w:space="0" w:color="auto"/>
              <w:right w:val="single" w:sz="4" w:space="0" w:color="auto"/>
            </w:tcBorders>
            <w:shd w:val="clear" w:color="auto" w:fill="auto"/>
            <w:noWrap/>
            <w:vAlign w:val="center"/>
            <w:hideMark/>
          </w:tcPr>
          <w:p w14:paraId="39FFBC29" w14:textId="77777777" w:rsidR="00716208" w:rsidRPr="00716208" w:rsidRDefault="00716208" w:rsidP="00AB4D08">
            <w:pPr>
              <w:spacing w:after="0" w:line="240" w:lineRule="auto"/>
              <w:contextualSpacing/>
              <w:jc w:val="right"/>
              <w:rPr>
                <w:rFonts w:ascii="Times New Roman" w:eastAsia="Times New Roman" w:hAnsi="Times New Roman"/>
                <w:color w:val="000000"/>
                <w:sz w:val="20"/>
                <w:szCs w:val="20"/>
                <w:lang w:eastAsia="es-CO"/>
              </w:rPr>
            </w:pPr>
            <w:r w:rsidRPr="00716208">
              <w:rPr>
                <w:rFonts w:ascii="Times New Roman" w:eastAsia="Times New Roman" w:hAnsi="Times New Roman"/>
                <w:color w:val="000000"/>
                <w:sz w:val="20"/>
                <w:szCs w:val="20"/>
                <w:lang w:eastAsia="es-CO"/>
              </w:rPr>
              <w:t>31.173.610.488</w:t>
            </w:r>
          </w:p>
        </w:tc>
        <w:tc>
          <w:tcPr>
            <w:tcW w:w="1560" w:type="dxa"/>
            <w:tcBorders>
              <w:top w:val="nil"/>
              <w:left w:val="nil"/>
              <w:bottom w:val="nil"/>
              <w:right w:val="single" w:sz="4" w:space="0" w:color="auto"/>
            </w:tcBorders>
            <w:shd w:val="clear" w:color="auto" w:fill="auto"/>
            <w:noWrap/>
            <w:vAlign w:val="center"/>
            <w:hideMark/>
          </w:tcPr>
          <w:p w14:paraId="22E24DA8" w14:textId="77777777" w:rsidR="00716208" w:rsidRPr="00716208" w:rsidRDefault="00716208" w:rsidP="00AB4D08">
            <w:pPr>
              <w:spacing w:after="0" w:line="240" w:lineRule="auto"/>
              <w:contextualSpacing/>
              <w:jc w:val="right"/>
              <w:rPr>
                <w:rFonts w:ascii="Times New Roman" w:eastAsia="Times New Roman" w:hAnsi="Times New Roman"/>
                <w:color w:val="000000"/>
                <w:sz w:val="20"/>
                <w:szCs w:val="20"/>
                <w:lang w:eastAsia="es-CO"/>
              </w:rPr>
            </w:pPr>
            <w:r w:rsidRPr="00716208">
              <w:rPr>
                <w:rFonts w:ascii="Times New Roman" w:eastAsia="Times New Roman" w:hAnsi="Times New Roman"/>
                <w:color w:val="000000"/>
                <w:sz w:val="20"/>
                <w:szCs w:val="20"/>
                <w:lang w:eastAsia="es-CO"/>
              </w:rPr>
              <w:t>5.322.932.864</w:t>
            </w:r>
          </w:p>
        </w:tc>
        <w:tc>
          <w:tcPr>
            <w:tcW w:w="1640" w:type="dxa"/>
            <w:tcBorders>
              <w:top w:val="nil"/>
              <w:left w:val="nil"/>
              <w:bottom w:val="nil"/>
              <w:right w:val="single" w:sz="4" w:space="0" w:color="auto"/>
            </w:tcBorders>
            <w:shd w:val="clear" w:color="auto" w:fill="auto"/>
            <w:noWrap/>
            <w:vAlign w:val="center"/>
            <w:hideMark/>
          </w:tcPr>
          <w:p w14:paraId="5EC9FAEC" w14:textId="77777777" w:rsidR="00716208" w:rsidRPr="00716208" w:rsidRDefault="00716208" w:rsidP="00AB4D08">
            <w:pPr>
              <w:spacing w:after="0" w:line="240" w:lineRule="auto"/>
              <w:contextualSpacing/>
              <w:jc w:val="right"/>
              <w:rPr>
                <w:rFonts w:ascii="Times New Roman" w:eastAsia="Times New Roman" w:hAnsi="Times New Roman"/>
                <w:color w:val="000000"/>
                <w:sz w:val="20"/>
                <w:szCs w:val="20"/>
                <w:lang w:eastAsia="es-CO"/>
              </w:rPr>
            </w:pPr>
            <w:r w:rsidRPr="00716208">
              <w:rPr>
                <w:rFonts w:ascii="Times New Roman" w:eastAsia="Times New Roman" w:hAnsi="Times New Roman"/>
                <w:color w:val="000000"/>
                <w:sz w:val="20"/>
                <w:szCs w:val="20"/>
                <w:lang w:eastAsia="es-CO"/>
              </w:rPr>
              <w:t>25.850.677.623</w:t>
            </w:r>
          </w:p>
        </w:tc>
        <w:tc>
          <w:tcPr>
            <w:tcW w:w="720" w:type="dxa"/>
            <w:tcBorders>
              <w:top w:val="nil"/>
              <w:left w:val="nil"/>
              <w:bottom w:val="single" w:sz="4" w:space="0" w:color="auto"/>
              <w:right w:val="single" w:sz="4" w:space="0" w:color="auto"/>
            </w:tcBorders>
            <w:shd w:val="clear" w:color="auto" w:fill="auto"/>
            <w:noWrap/>
            <w:vAlign w:val="center"/>
            <w:hideMark/>
          </w:tcPr>
          <w:p w14:paraId="05AC2839" w14:textId="0F468AD9" w:rsidR="00716208" w:rsidRPr="00716208" w:rsidRDefault="00091368" w:rsidP="00091368">
            <w:pPr>
              <w:spacing w:after="0" w:line="240" w:lineRule="auto"/>
              <w:contextualSpacing/>
              <w:jc w:val="right"/>
              <w:rPr>
                <w:rFonts w:ascii="Times New Roman" w:eastAsia="Times New Roman" w:hAnsi="Times New Roman"/>
                <w:color w:val="000000"/>
                <w:sz w:val="20"/>
                <w:szCs w:val="20"/>
                <w:lang w:eastAsia="es-CO"/>
              </w:rPr>
            </w:pPr>
            <w:r>
              <w:rPr>
                <w:rFonts w:ascii="Times New Roman" w:eastAsia="Times New Roman" w:hAnsi="Times New Roman"/>
                <w:color w:val="000000"/>
                <w:sz w:val="20"/>
                <w:szCs w:val="20"/>
                <w:lang w:eastAsia="es-CO"/>
              </w:rPr>
              <w:t>485.65%</w:t>
            </w:r>
          </w:p>
        </w:tc>
      </w:tr>
      <w:tr w:rsidR="00716208" w:rsidRPr="00716208" w14:paraId="2BD8E94B" w14:textId="77777777" w:rsidTr="00716208">
        <w:trPr>
          <w:trHeight w:val="330"/>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14:paraId="7F25C592" w14:textId="77777777" w:rsidR="00716208" w:rsidRPr="00716208" w:rsidRDefault="00716208" w:rsidP="00AB4D08">
            <w:pPr>
              <w:spacing w:after="0" w:line="240" w:lineRule="auto"/>
              <w:contextualSpacing/>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TOTALES</w:t>
            </w:r>
          </w:p>
        </w:tc>
        <w:tc>
          <w:tcPr>
            <w:tcW w:w="1720" w:type="dxa"/>
            <w:tcBorders>
              <w:top w:val="nil"/>
              <w:left w:val="nil"/>
              <w:bottom w:val="single" w:sz="4" w:space="0" w:color="auto"/>
              <w:right w:val="single" w:sz="4" w:space="0" w:color="auto"/>
            </w:tcBorders>
            <w:shd w:val="clear" w:color="000000" w:fill="D9D9D9"/>
            <w:noWrap/>
            <w:vAlign w:val="center"/>
            <w:hideMark/>
          </w:tcPr>
          <w:p w14:paraId="67196667" w14:textId="77777777" w:rsidR="00716208" w:rsidRPr="00716208" w:rsidRDefault="00716208" w:rsidP="00AB4D08">
            <w:pPr>
              <w:spacing w:after="0" w:line="240" w:lineRule="auto"/>
              <w:contextualSpacing/>
              <w:jc w:val="right"/>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31.173.610.488</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14:paraId="547A5AB4" w14:textId="77777777" w:rsidR="00716208" w:rsidRPr="00716208" w:rsidRDefault="00716208" w:rsidP="00AB4D08">
            <w:pPr>
              <w:spacing w:after="0" w:line="240" w:lineRule="auto"/>
              <w:contextualSpacing/>
              <w:jc w:val="right"/>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5.322.932.864</w:t>
            </w:r>
          </w:p>
        </w:tc>
        <w:tc>
          <w:tcPr>
            <w:tcW w:w="1640" w:type="dxa"/>
            <w:tcBorders>
              <w:top w:val="single" w:sz="4" w:space="0" w:color="auto"/>
              <w:left w:val="nil"/>
              <w:bottom w:val="single" w:sz="4" w:space="0" w:color="auto"/>
              <w:right w:val="single" w:sz="4" w:space="0" w:color="auto"/>
            </w:tcBorders>
            <w:shd w:val="clear" w:color="000000" w:fill="D9D9D9"/>
            <w:noWrap/>
            <w:vAlign w:val="center"/>
            <w:hideMark/>
          </w:tcPr>
          <w:p w14:paraId="74F68AB2" w14:textId="77777777" w:rsidR="00716208" w:rsidRPr="00716208" w:rsidRDefault="00716208" w:rsidP="00AB4D08">
            <w:pPr>
              <w:spacing w:after="0" w:line="240" w:lineRule="auto"/>
              <w:contextualSpacing/>
              <w:jc w:val="right"/>
              <w:rPr>
                <w:rFonts w:ascii="Times New Roman" w:eastAsia="Times New Roman" w:hAnsi="Times New Roman"/>
                <w:b/>
                <w:bCs/>
                <w:color w:val="000000"/>
                <w:sz w:val="20"/>
                <w:szCs w:val="20"/>
                <w:lang w:eastAsia="es-CO"/>
              </w:rPr>
            </w:pPr>
            <w:r w:rsidRPr="00716208">
              <w:rPr>
                <w:rFonts w:ascii="Times New Roman" w:eastAsia="Times New Roman" w:hAnsi="Times New Roman"/>
                <w:b/>
                <w:bCs/>
                <w:color w:val="000000"/>
                <w:sz w:val="20"/>
                <w:szCs w:val="20"/>
                <w:lang w:eastAsia="es-CO"/>
              </w:rPr>
              <w:t>25.850.677.623</w:t>
            </w:r>
          </w:p>
        </w:tc>
        <w:tc>
          <w:tcPr>
            <w:tcW w:w="720" w:type="dxa"/>
            <w:tcBorders>
              <w:top w:val="nil"/>
              <w:left w:val="nil"/>
              <w:bottom w:val="single" w:sz="4" w:space="0" w:color="auto"/>
              <w:right w:val="single" w:sz="4" w:space="0" w:color="auto"/>
            </w:tcBorders>
            <w:shd w:val="clear" w:color="000000" w:fill="D9D9D9"/>
            <w:noWrap/>
            <w:vAlign w:val="center"/>
            <w:hideMark/>
          </w:tcPr>
          <w:p w14:paraId="3133D0AA" w14:textId="7382A4D5" w:rsidR="00716208" w:rsidRPr="00716208" w:rsidRDefault="00091368" w:rsidP="00AB4D08">
            <w:pPr>
              <w:spacing w:after="0" w:line="240" w:lineRule="auto"/>
              <w:contextualSpacing/>
              <w:jc w:val="right"/>
              <w:rPr>
                <w:rFonts w:ascii="Times New Roman" w:eastAsia="Times New Roman" w:hAnsi="Times New Roman"/>
                <w:b/>
                <w:bCs/>
                <w:color w:val="000000"/>
                <w:sz w:val="20"/>
                <w:szCs w:val="20"/>
                <w:lang w:eastAsia="es-CO"/>
              </w:rPr>
            </w:pPr>
            <w:r>
              <w:rPr>
                <w:rFonts w:ascii="Times New Roman" w:eastAsia="Times New Roman" w:hAnsi="Times New Roman"/>
                <w:b/>
                <w:bCs/>
                <w:color w:val="000000"/>
                <w:sz w:val="20"/>
                <w:szCs w:val="20"/>
                <w:lang w:eastAsia="es-CO"/>
              </w:rPr>
              <w:t>485.68%</w:t>
            </w:r>
          </w:p>
        </w:tc>
      </w:tr>
    </w:tbl>
    <w:p w14:paraId="0EA18462" w14:textId="77777777" w:rsidR="00716208" w:rsidRPr="00877E4C" w:rsidRDefault="00716208" w:rsidP="00AB4D08">
      <w:pPr>
        <w:spacing w:line="240" w:lineRule="auto"/>
        <w:ind w:left="567"/>
        <w:contextualSpacing/>
        <w:jc w:val="both"/>
        <w:rPr>
          <w:rFonts w:ascii="Times New Roman" w:eastAsia="Arial" w:hAnsi="Times New Roman"/>
          <w:sz w:val="24"/>
          <w:szCs w:val="24"/>
        </w:rPr>
      </w:pPr>
    </w:p>
    <w:p w14:paraId="4D13B18D" w14:textId="77777777" w:rsidR="00854CA4" w:rsidRPr="00854CA4" w:rsidRDefault="00854CA4" w:rsidP="00AB4D08">
      <w:pPr>
        <w:spacing w:line="240" w:lineRule="auto"/>
        <w:ind w:left="567"/>
        <w:contextualSpacing/>
        <w:rPr>
          <w:rFonts w:ascii="Times New Roman" w:hAnsi="Times New Roman"/>
          <w:bCs/>
          <w:color w:val="000000" w:themeColor="text1"/>
          <w:spacing w:val="-3"/>
          <w:sz w:val="24"/>
          <w:szCs w:val="24"/>
        </w:rPr>
      </w:pPr>
      <w:r w:rsidRPr="00854CA4">
        <w:rPr>
          <w:rFonts w:ascii="Times New Roman" w:hAnsi="Times New Roman"/>
          <w:bCs/>
          <w:color w:val="000000" w:themeColor="text1"/>
          <w:spacing w:val="-3"/>
          <w:sz w:val="24"/>
          <w:szCs w:val="24"/>
        </w:rPr>
        <w:t>Recursos Entregados en Administración</w:t>
      </w:r>
    </w:p>
    <w:p w14:paraId="2078AC38" w14:textId="77777777" w:rsidR="00854CA4" w:rsidRPr="00854CA4" w:rsidRDefault="00854CA4" w:rsidP="00AB4D08">
      <w:pPr>
        <w:pStyle w:val="Prrafodelista"/>
        <w:spacing w:after="200" w:line="240" w:lineRule="auto"/>
        <w:ind w:left="567"/>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Se presenta una variación de 71.04% correspondiente a la ejecución de recursos entregados con cargo al convenio 1445 de 2018, suscrito entre el IDU – Jardín Botánico</w:t>
      </w:r>
      <w:r w:rsidRPr="00854CA4">
        <w:rPr>
          <w:rFonts w:ascii="Times New Roman" w:hAnsi="Times New Roman"/>
          <w:color w:val="222222"/>
          <w:sz w:val="24"/>
          <w:szCs w:val="24"/>
          <w:shd w:val="clear" w:color="auto" w:fill="FFFFFF"/>
        </w:rPr>
        <w:t xml:space="preserve"> en la vigencia se ejecutaron las actividades en su totalidad. </w:t>
      </w:r>
    </w:p>
    <w:p w14:paraId="1079F042" w14:textId="77777777" w:rsidR="00854CA4" w:rsidRDefault="00854CA4" w:rsidP="00AB4D08">
      <w:pPr>
        <w:pStyle w:val="Prrafodelista"/>
        <w:spacing w:after="200" w:line="240" w:lineRule="auto"/>
        <w:ind w:left="567"/>
        <w:jc w:val="both"/>
        <w:rPr>
          <w:rFonts w:ascii="Times New Roman" w:hAnsi="Times New Roman"/>
          <w:color w:val="000000" w:themeColor="text1"/>
          <w:sz w:val="24"/>
          <w:szCs w:val="24"/>
        </w:rPr>
      </w:pPr>
    </w:p>
    <w:p w14:paraId="50739325" w14:textId="77777777" w:rsidR="00854CA4" w:rsidRPr="00854CA4" w:rsidRDefault="00854CA4" w:rsidP="00AB4D08">
      <w:pPr>
        <w:pStyle w:val="Prrafodelista"/>
        <w:spacing w:after="200" w:line="240" w:lineRule="auto"/>
        <w:ind w:left="567"/>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 xml:space="preserve">El saldo de $86.883.480 corresponde a recursos entregados al Jardín Botánico con cargo al convenio SDA-CD-1283-2019, suscrito con SDA IDRD IDIGER, cuyo objeto es </w:t>
      </w:r>
      <w:r w:rsidRPr="00854CA4">
        <w:rPr>
          <w:rFonts w:ascii="Times New Roman" w:hAnsi="Times New Roman"/>
          <w:color w:val="000000" w:themeColor="text1"/>
          <w:sz w:val="24"/>
          <w:szCs w:val="24"/>
        </w:rPr>
        <w:lastRenderedPageBreak/>
        <w:t>“aunar recursos técnicos, financieros y administrativos para realizar el control de retamo espinoso como una medida de mitigación de incendios forestales”.</w:t>
      </w:r>
    </w:p>
    <w:p w14:paraId="44525CE0" w14:textId="36E5812C" w:rsidR="00854CA4" w:rsidRPr="00854CA4" w:rsidRDefault="00854CA4" w:rsidP="00AB4D08">
      <w:pPr>
        <w:spacing w:line="240" w:lineRule="auto"/>
        <w:ind w:left="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Los r</w:t>
      </w:r>
      <w:r w:rsidRPr="00854CA4">
        <w:rPr>
          <w:rFonts w:ascii="Times New Roman" w:hAnsi="Times New Roman"/>
          <w:color w:val="000000" w:themeColor="text1"/>
          <w:sz w:val="24"/>
          <w:szCs w:val="24"/>
        </w:rPr>
        <w:t>ecursos Recibidos en Administración</w:t>
      </w:r>
      <w:r>
        <w:rPr>
          <w:rFonts w:ascii="Times New Roman" w:hAnsi="Times New Roman"/>
          <w:color w:val="000000" w:themeColor="text1"/>
          <w:sz w:val="24"/>
          <w:szCs w:val="24"/>
        </w:rPr>
        <w:t>, e</w:t>
      </w:r>
      <w:r w:rsidRPr="00854CA4">
        <w:rPr>
          <w:rFonts w:ascii="Times New Roman" w:hAnsi="Times New Roman"/>
          <w:color w:val="000000" w:themeColor="text1"/>
          <w:sz w:val="24"/>
          <w:szCs w:val="24"/>
        </w:rPr>
        <w:t>stá</w:t>
      </w:r>
      <w:r>
        <w:rPr>
          <w:rFonts w:ascii="Times New Roman" w:hAnsi="Times New Roman"/>
          <w:color w:val="000000" w:themeColor="text1"/>
          <w:sz w:val="24"/>
          <w:szCs w:val="24"/>
        </w:rPr>
        <w:t>n</w:t>
      </w:r>
      <w:r w:rsidRPr="00854CA4">
        <w:rPr>
          <w:rFonts w:ascii="Times New Roman" w:hAnsi="Times New Roman"/>
          <w:color w:val="000000" w:themeColor="text1"/>
          <w:sz w:val="24"/>
          <w:szCs w:val="24"/>
        </w:rPr>
        <w:t xml:space="preserve"> compuesto por los siguientes convenios:</w:t>
      </w:r>
    </w:p>
    <w:p w14:paraId="26C1E8D3" w14:textId="77777777" w:rsidR="00854CA4" w:rsidRPr="00854CA4" w:rsidRDefault="00854CA4" w:rsidP="00AB4D08">
      <w:pPr>
        <w:spacing w:line="240" w:lineRule="auto"/>
        <w:ind w:left="567"/>
        <w:contextualSpacing/>
        <w:jc w:val="both"/>
        <w:rPr>
          <w:rFonts w:ascii="Times New Roman" w:hAnsi="Times New Roman"/>
          <w:color w:val="000000" w:themeColor="text1"/>
          <w:sz w:val="24"/>
          <w:szCs w:val="24"/>
        </w:rPr>
      </w:pPr>
    </w:p>
    <w:p w14:paraId="780DAC42" w14:textId="77777777" w:rsidR="00854CA4" w:rsidRPr="00854CA4" w:rsidRDefault="00854CA4" w:rsidP="00AB4D08">
      <w:pPr>
        <w:spacing w:line="240" w:lineRule="auto"/>
        <w:ind w:left="567"/>
        <w:contextualSpacing/>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Convenios Localidades por $20.000.000.000</w:t>
      </w:r>
    </w:p>
    <w:p w14:paraId="3F96565D" w14:textId="77777777" w:rsidR="00854CA4" w:rsidRPr="00854CA4" w:rsidRDefault="00854CA4" w:rsidP="00AB4D08">
      <w:pPr>
        <w:spacing w:line="240" w:lineRule="auto"/>
        <w:ind w:left="567"/>
        <w:contextualSpacing/>
        <w:jc w:val="both"/>
        <w:rPr>
          <w:rFonts w:ascii="Times New Roman" w:hAnsi="Times New Roman"/>
          <w:color w:val="000000" w:themeColor="text1"/>
          <w:sz w:val="24"/>
          <w:szCs w:val="24"/>
        </w:rPr>
      </w:pPr>
    </w:p>
    <w:p w14:paraId="057C0754" w14:textId="1E8E5986" w:rsidR="00854CA4" w:rsidRPr="00854CA4" w:rsidRDefault="00854CA4" w:rsidP="00AB4D08">
      <w:pPr>
        <w:pStyle w:val="Prrafodelista"/>
        <w:numPr>
          <w:ilvl w:val="0"/>
          <w:numId w:val="6"/>
        </w:numPr>
        <w:autoSpaceDE w:val="0"/>
        <w:autoSpaceDN w:val="0"/>
        <w:adjustRightInd w:val="0"/>
        <w:spacing w:after="0" w:line="240" w:lineRule="auto"/>
        <w:jc w:val="both"/>
        <w:rPr>
          <w:rFonts w:ascii="Times New Roman" w:hAnsi="Times New Roman"/>
          <w:i/>
          <w:color w:val="000000" w:themeColor="text1"/>
          <w:sz w:val="24"/>
          <w:szCs w:val="24"/>
        </w:rPr>
      </w:pPr>
      <w:r w:rsidRPr="00854CA4">
        <w:rPr>
          <w:rFonts w:ascii="Times New Roman" w:hAnsi="Times New Roman"/>
          <w:color w:val="000000" w:themeColor="text1"/>
          <w:sz w:val="24"/>
          <w:szCs w:val="24"/>
        </w:rPr>
        <w:t>Convenio 1454 de 2019, por valor de $4.000.000.000 suscrito con el Fondo de Desarrollo de Bosa, cuyo objeto es “Aunar e</w:t>
      </w:r>
      <w:r w:rsidRPr="00854CA4">
        <w:rPr>
          <w:rFonts w:ascii="Times New Roman" w:hAnsi="Times New Roman"/>
          <w:i/>
          <w:color w:val="000000" w:themeColor="text1"/>
          <w:sz w:val="24"/>
          <w:szCs w:val="24"/>
        </w:rPr>
        <w:t>sfuerzos técnicos, administrativos y financieros, para adelantar los estudios, diseños y obras del proyecto Calles comerciales a cielo abierto, para la intervención de la calle 51 Sur entre carreras 88 C y 89 B de la Localidad de Bosa”.</w:t>
      </w:r>
    </w:p>
    <w:p w14:paraId="4D7D537D" w14:textId="77777777" w:rsidR="00E90A32" w:rsidRPr="00E90A32" w:rsidRDefault="00E90A32" w:rsidP="00E90A32">
      <w:pPr>
        <w:pStyle w:val="Prrafodelista"/>
        <w:autoSpaceDE w:val="0"/>
        <w:autoSpaceDN w:val="0"/>
        <w:adjustRightInd w:val="0"/>
        <w:spacing w:after="0" w:line="240" w:lineRule="auto"/>
        <w:jc w:val="both"/>
        <w:rPr>
          <w:rFonts w:ascii="Times New Roman" w:hAnsi="Times New Roman"/>
          <w:i/>
          <w:color w:val="000000" w:themeColor="text1"/>
          <w:sz w:val="24"/>
          <w:szCs w:val="24"/>
        </w:rPr>
      </w:pPr>
    </w:p>
    <w:p w14:paraId="4D1E01F0" w14:textId="522CA1CB" w:rsidR="00854CA4" w:rsidRPr="00854CA4" w:rsidRDefault="00854CA4" w:rsidP="00AB4D08">
      <w:pPr>
        <w:pStyle w:val="Prrafodelista"/>
        <w:numPr>
          <w:ilvl w:val="0"/>
          <w:numId w:val="6"/>
        </w:numPr>
        <w:autoSpaceDE w:val="0"/>
        <w:autoSpaceDN w:val="0"/>
        <w:adjustRightInd w:val="0"/>
        <w:spacing w:after="0" w:line="240" w:lineRule="auto"/>
        <w:jc w:val="both"/>
        <w:rPr>
          <w:rFonts w:ascii="Times New Roman" w:hAnsi="Times New Roman"/>
          <w:i/>
          <w:color w:val="000000" w:themeColor="text1"/>
          <w:sz w:val="24"/>
          <w:szCs w:val="24"/>
        </w:rPr>
      </w:pPr>
      <w:r w:rsidRPr="00854CA4">
        <w:rPr>
          <w:rFonts w:ascii="Times New Roman" w:hAnsi="Times New Roman"/>
          <w:color w:val="000000" w:themeColor="text1"/>
          <w:sz w:val="24"/>
          <w:szCs w:val="24"/>
        </w:rPr>
        <w:t xml:space="preserve">Convenio 1456 de 2019, por valor de 2.000.000.000 suscrito con el Fondo de Desarrollo de Puente Aranda, cuyo objeto es </w:t>
      </w:r>
      <w:r w:rsidRPr="00854CA4">
        <w:rPr>
          <w:rFonts w:ascii="Times New Roman" w:hAnsi="Times New Roman"/>
          <w:i/>
          <w:color w:val="000000" w:themeColor="text1"/>
          <w:sz w:val="24"/>
          <w:szCs w:val="24"/>
        </w:rPr>
        <w:t>“Aunar esfuerzos técnicos, administrativos y Financieros, para adelantar los estudios, diseños y obras del proyecto Calles comerciales a cielo abierto, para la intervención en la carrera 52 C Centre Calle 40 sur y Autopista sur, en la Localidad de Puente Aranda”.</w:t>
      </w:r>
    </w:p>
    <w:p w14:paraId="2B24A1DA" w14:textId="0649BF00" w:rsidR="00854CA4" w:rsidRPr="00854CA4" w:rsidRDefault="00854CA4" w:rsidP="00AB4D08">
      <w:pPr>
        <w:pStyle w:val="Prrafodelista"/>
        <w:numPr>
          <w:ilvl w:val="0"/>
          <w:numId w:val="6"/>
        </w:numPr>
        <w:autoSpaceDE w:val="0"/>
        <w:autoSpaceDN w:val="0"/>
        <w:adjustRightInd w:val="0"/>
        <w:spacing w:after="0" w:line="240" w:lineRule="auto"/>
        <w:jc w:val="both"/>
        <w:rPr>
          <w:rFonts w:ascii="Times New Roman" w:hAnsi="Times New Roman"/>
          <w:i/>
          <w:color w:val="000000" w:themeColor="text1"/>
          <w:sz w:val="24"/>
          <w:szCs w:val="24"/>
        </w:rPr>
      </w:pPr>
      <w:r w:rsidRPr="00854CA4">
        <w:rPr>
          <w:rFonts w:ascii="Times New Roman" w:hAnsi="Times New Roman"/>
          <w:color w:val="000000" w:themeColor="text1"/>
          <w:sz w:val="24"/>
          <w:szCs w:val="24"/>
        </w:rPr>
        <w:t>Convenio 1457 de 2019, por valor de $6.000.000.000 suscrito con el Fondo de Desarrollo de Usaquén, cuyo objeto es</w:t>
      </w:r>
      <w:r w:rsidRPr="00854CA4">
        <w:rPr>
          <w:rFonts w:ascii="Times New Roman" w:hAnsi="Times New Roman"/>
          <w:i/>
          <w:color w:val="000000" w:themeColor="text1"/>
          <w:sz w:val="24"/>
          <w:szCs w:val="24"/>
        </w:rPr>
        <w:t xml:space="preserve"> “Aunar esfuerzos técnicos, administrativos y Financieros, para adelantar las obras del centro fundacional en la Localidad de Usaquén, en desarrollo de los estudios y diseños del Contrato de Consultoría IDU - 1514 – 2017”</w:t>
      </w:r>
    </w:p>
    <w:p w14:paraId="3761F0CD" w14:textId="77777777" w:rsidR="00854CA4" w:rsidRPr="00854CA4" w:rsidRDefault="00854CA4" w:rsidP="00AB4D08">
      <w:pPr>
        <w:pStyle w:val="Prrafodelista"/>
        <w:spacing w:line="240" w:lineRule="auto"/>
        <w:ind w:left="567"/>
        <w:rPr>
          <w:rFonts w:ascii="Times New Roman" w:hAnsi="Times New Roman"/>
          <w:i/>
          <w:color w:val="000000" w:themeColor="text1"/>
          <w:sz w:val="24"/>
          <w:szCs w:val="24"/>
        </w:rPr>
      </w:pPr>
    </w:p>
    <w:p w14:paraId="435FC2B0" w14:textId="136B96FE" w:rsidR="00854CA4" w:rsidRPr="00854CA4" w:rsidRDefault="00854CA4" w:rsidP="00AB4D08">
      <w:pPr>
        <w:pStyle w:val="Prrafodelista"/>
        <w:numPr>
          <w:ilvl w:val="0"/>
          <w:numId w:val="6"/>
        </w:numPr>
        <w:autoSpaceDE w:val="0"/>
        <w:autoSpaceDN w:val="0"/>
        <w:adjustRightInd w:val="0"/>
        <w:spacing w:after="0" w:line="240" w:lineRule="auto"/>
        <w:jc w:val="both"/>
        <w:rPr>
          <w:rFonts w:ascii="Times New Roman" w:hAnsi="Times New Roman"/>
          <w:i/>
          <w:color w:val="000000" w:themeColor="text1"/>
          <w:sz w:val="24"/>
          <w:szCs w:val="24"/>
        </w:rPr>
      </w:pPr>
      <w:r w:rsidRPr="00854CA4">
        <w:rPr>
          <w:rFonts w:ascii="Times New Roman" w:hAnsi="Times New Roman"/>
          <w:color w:val="000000" w:themeColor="text1"/>
          <w:sz w:val="24"/>
          <w:szCs w:val="24"/>
        </w:rPr>
        <w:t>Convenio 1459 de 2019, por valor de $8.000.000.000 suscrito con el Fondo de Desarrollo de Kennedy, cuyo objeto es</w:t>
      </w:r>
      <w:r w:rsidRPr="00854CA4">
        <w:rPr>
          <w:rFonts w:ascii="Times New Roman" w:hAnsi="Times New Roman"/>
          <w:i/>
          <w:color w:val="000000" w:themeColor="text1"/>
          <w:sz w:val="24"/>
          <w:szCs w:val="24"/>
        </w:rPr>
        <w:t xml:space="preserve"> “Aunar esfuerzos técnicos, administrativos y financieros, para adelantar los estudios, diseños y obras del proyecto calles comerciales a cielo abierto, para la intervención de la calle 45 Sur entre carreras 72 U Bis y 72 I de la Localidad de Kennedy”</w:t>
      </w:r>
    </w:p>
    <w:p w14:paraId="4BBCA816" w14:textId="77777777" w:rsidR="00854CA4" w:rsidRPr="00854CA4" w:rsidRDefault="00854CA4" w:rsidP="00AB4D08">
      <w:pPr>
        <w:pStyle w:val="Prrafodelista"/>
        <w:spacing w:line="240" w:lineRule="auto"/>
        <w:ind w:left="567"/>
        <w:rPr>
          <w:rFonts w:ascii="Times New Roman" w:hAnsi="Times New Roman"/>
          <w:i/>
          <w:color w:val="000000" w:themeColor="text1"/>
          <w:sz w:val="24"/>
          <w:szCs w:val="24"/>
        </w:rPr>
      </w:pPr>
    </w:p>
    <w:p w14:paraId="1F893F24" w14:textId="06C2503D" w:rsidR="00854CA4" w:rsidRPr="00854CA4" w:rsidRDefault="00854CA4" w:rsidP="00AB4D08">
      <w:pPr>
        <w:pStyle w:val="Prrafodelista"/>
        <w:numPr>
          <w:ilvl w:val="0"/>
          <w:numId w:val="6"/>
        </w:numPr>
        <w:spacing w:after="0" w:line="240" w:lineRule="auto"/>
        <w:jc w:val="both"/>
        <w:rPr>
          <w:rFonts w:ascii="Times New Roman" w:eastAsia="Arial" w:hAnsi="Times New Roman"/>
          <w:sz w:val="24"/>
          <w:szCs w:val="24"/>
        </w:rPr>
      </w:pPr>
      <w:r w:rsidRPr="00854CA4">
        <w:rPr>
          <w:rFonts w:ascii="Times New Roman" w:eastAsia="Arial" w:hAnsi="Times New Roman"/>
          <w:sz w:val="24"/>
          <w:szCs w:val="24"/>
        </w:rPr>
        <w:t>Para el convenio 024 de 2006, suscrito con el Fondo de Desarrollo Local de Ciudad Bolívar, cuyo objeto es “Cofinanciar entre el FDL y el IDU, las actividades necesarias para efectuar el mejoramiento integral de la malla vial, en Bogotá D.C., por $130.372.603, el mencionado convenio se archivó y se hizo la devolución de los recursos con orden de pago 420 de 2019.</w:t>
      </w:r>
    </w:p>
    <w:p w14:paraId="6F48182D" w14:textId="77777777" w:rsidR="00854CA4" w:rsidRPr="00854CA4" w:rsidRDefault="00854CA4" w:rsidP="00AB4D08">
      <w:pPr>
        <w:pStyle w:val="Prrafodelista"/>
        <w:spacing w:line="240" w:lineRule="auto"/>
        <w:ind w:left="567"/>
        <w:rPr>
          <w:rFonts w:ascii="Times New Roman" w:eastAsia="Arial" w:hAnsi="Times New Roman"/>
          <w:sz w:val="24"/>
          <w:szCs w:val="24"/>
        </w:rPr>
      </w:pPr>
    </w:p>
    <w:p w14:paraId="3BD456DB" w14:textId="7ED4C011" w:rsidR="00854CA4" w:rsidRPr="00854CA4" w:rsidRDefault="00854CA4" w:rsidP="00AB4D08">
      <w:pPr>
        <w:pStyle w:val="Prrafodelista"/>
        <w:spacing w:line="240" w:lineRule="auto"/>
        <w:ind w:left="567"/>
        <w:rPr>
          <w:rFonts w:ascii="Times New Roman" w:hAnsi="Times New Roman"/>
          <w:color w:val="000000" w:themeColor="text1"/>
          <w:sz w:val="24"/>
          <w:szCs w:val="24"/>
        </w:rPr>
      </w:pPr>
      <w:r w:rsidRPr="00854CA4">
        <w:rPr>
          <w:rFonts w:ascii="Times New Roman" w:hAnsi="Times New Roman"/>
          <w:color w:val="000000" w:themeColor="text1"/>
          <w:sz w:val="24"/>
          <w:szCs w:val="24"/>
        </w:rPr>
        <w:t>Convenio con Entidades Públicas</w:t>
      </w:r>
    </w:p>
    <w:p w14:paraId="5C14E799" w14:textId="77777777" w:rsidR="00854CA4" w:rsidRPr="00854CA4" w:rsidRDefault="00854CA4" w:rsidP="00AB4D08">
      <w:pPr>
        <w:pStyle w:val="Prrafodelista"/>
        <w:spacing w:line="240" w:lineRule="auto"/>
        <w:ind w:left="567"/>
        <w:rPr>
          <w:rFonts w:ascii="Times New Roman" w:hAnsi="Times New Roman"/>
          <w:i/>
          <w:color w:val="000000" w:themeColor="text1"/>
          <w:sz w:val="24"/>
          <w:szCs w:val="24"/>
        </w:rPr>
      </w:pPr>
    </w:p>
    <w:p w14:paraId="2905C2D5" w14:textId="73FC855A" w:rsidR="00854CA4" w:rsidRPr="00854CA4" w:rsidRDefault="00854CA4" w:rsidP="00AB4D08">
      <w:pPr>
        <w:pStyle w:val="Prrafodelista"/>
        <w:numPr>
          <w:ilvl w:val="0"/>
          <w:numId w:val="6"/>
        </w:numPr>
        <w:spacing w:after="0" w:line="240" w:lineRule="auto"/>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Convenio 949 de 2016, suscrito con la Secretaria Distrital de Movilidad, presenta un saldo de $2.039.922.629, cuyo objeto es “ejecución de medidas de gestión en seguridad vial para la ciudad de Bogotá D.C., etapas de planeación, estudios y diseños, implementación y seguimiento.</w:t>
      </w:r>
    </w:p>
    <w:p w14:paraId="5D102E95" w14:textId="77777777" w:rsidR="00854CA4" w:rsidRPr="00854CA4" w:rsidRDefault="00854CA4" w:rsidP="00AB4D08">
      <w:pPr>
        <w:pStyle w:val="Prrafodelista"/>
        <w:spacing w:line="240" w:lineRule="auto"/>
        <w:ind w:left="567"/>
        <w:rPr>
          <w:rFonts w:ascii="Times New Roman" w:hAnsi="Times New Roman"/>
          <w:color w:val="000000" w:themeColor="text1"/>
          <w:sz w:val="24"/>
          <w:szCs w:val="24"/>
        </w:rPr>
      </w:pPr>
    </w:p>
    <w:p w14:paraId="50D7F5BA" w14:textId="7F541F4E" w:rsidR="00854CA4" w:rsidRPr="00854CA4" w:rsidRDefault="00854CA4" w:rsidP="00AB4D08">
      <w:pPr>
        <w:pStyle w:val="Prrafodelista"/>
        <w:numPr>
          <w:ilvl w:val="0"/>
          <w:numId w:val="6"/>
        </w:numPr>
        <w:spacing w:after="0" w:line="240" w:lineRule="auto"/>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 xml:space="preserve">Convenio 1021 de 2017, suscrito con la Empresa Metro de Bogotá S.A. EMB S.A., presenta un saldo de $2.380.721.015, cuyo objeto es” ejecución de la Gestión Predial </w:t>
      </w:r>
      <w:r w:rsidRPr="00854CA4">
        <w:rPr>
          <w:rFonts w:ascii="Times New Roman" w:hAnsi="Times New Roman"/>
          <w:color w:val="000000" w:themeColor="text1"/>
          <w:sz w:val="24"/>
          <w:szCs w:val="24"/>
        </w:rPr>
        <w:lastRenderedPageBreak/>
        <w:t>integral del Primer Tramo o Paquete de Predios necesarios para la infraestructura de la Primera Línea de Metro de Bogotá (PLMB), integrado por 129 predios”</w:t>
      </w:r>
    </w:p>
    <w:p w14:paraId="07FAB41E" w14:textId="77777777" w:rsidR="00854CA4" w:rsidRPr="00854CA4" w:rsidRDefault="00854CA4" w:rsidP="00AB4D08">
      <w:pPr>
        <w:pStyle w:val="Prrafodelista"/>
        <w:spacing w:line="240" w:lineRule="auto"/>
        <w:ind w:left="567"/>
        <w:rPr>
          <w:rFonts w:ascii="Times New Roman" w:hAnsi="Times New Roman"/>
          <w:color w:val="000000" w:themeColor="text1"/>
          <w:sz w:val="24"/>
          <w:szCs w:val="24"/>
        </w:rPr>
      </w:pPr>
    </w:p>
    <w:p w14:paraId="37DCAAAE" w14:textId="542E2F9A" w:rsidR="00854CA4" w:rsidRPr="00854CA4" w:rsidRDefault="00854CA4" w:rsidP="00AB4D08">
      <w:pPr>
        <w:pStyle w:val="Prrafodelista"/>
        <w:numPr>
          <w:ilvl w:val="0"/>
          <w:numId w:val="6"/>
        </w:numPr>
        <w:spacing w:after="0" w:line="240" w:lineRule="auto"/>
        <w:jc w:val="both"/>
        <w:rPr>
          <w:rFonts w:ascii="Times New Roman" w:eastAsia="Arial" w:hAnsi="Times New Roman"/>
          <w:sz w:val="24"/>
          <w:szCs w:val="24"/>
        </w:rPr>
      </w:pPr>
      <w:r w:rsidRPr="00854CA4">
        <w:rPr>
          <w:rFonts w:ascii="Times New Roman" w:eastAsia="Arial" w:hAnsi="Times New Roman"/>
          <w:sz w:val="24"/>
          <w:szCs w:val="24"/>
        </w:rPr>
        <w:t xml:space="preserve">Para el Convenio 10 de 2008, suscrito con la Empresa de Acueducto y Alcantarillado de Bogotá ESP, por valor de $4.379.298.818, se hizo la respectiva entrega de obras a la mencionada entidad según acta 25 de mayo y acta 1 de diciembre de 2019. </w:t>
      </w:r>
    </w:p>
    <w:p w14:paraId="278CAF80" w14:textId="77777777" w:rsidR="00854CA4" w:rsidRPr="00854CA4" w:rsidRDefault="00854CA4" w:rsidP="00AB4D08">
      <w:pPr>
        <w:pStyle w:val="Prrafodelista"/>
        <w:spacing w:line="240" w:lineRule="auto"/>
        <w:ind w:left="567"/>
        <w:rPr>
          <w:rFonts w:ascii="Times New Roman" w:eastAsia="Arial" w:hAnsi="Times New Roman"/>
          <w:sz w:val="24"/>
          <w:szCs w:val="24"/>
        </w:rPr>
      </w:pPr>
    </w:p>
    <w:p w14:paraId="5B35969E" w14:textId="77777777" w:rsidR="00854CA4" w:rsidRPr="00854CA4" w:rsidRDefault="00854CA4" w:rsidP="00AB4D08">
      <w:pPr>
        <w:spacing w:line="240" w:lineRule="auto"/>
        <w:ind w:left="567"/>
        <w:contextualSpacing/>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Convenios con Entidades Privadas</w:t>
      </w:r>
    </w:p>
    <w:p w14:paraId="7C2FB011" w14:textId="03F08BE5" w:rsidR="00854CA4" w:rsidRPr="00854CA4" w:rsidRDefault="00854CA4" w:rsidP="00AB4D08">
      <w:pPr>
        <w:pStyle w:val="Prrafodelista"/>
        <w:numPr>
          <w:ilvl w:val="0"/>
          <w:numId w:val="6"/>
        </w:numPr>
        <w:spacing w:after="0" w:line="240" w:lineRule="auto"/>
        <w:jc w:val="both"/>
        <w:rPr>
          <w:rFonts w:ascii="Times New Roman" w:hAnsi="Times New Roman"/>
          <w:color w:val="000000" w:themeColor="text1"/>
          <w:sz w:val="24"/>
          <w:szCs w:val="24"/>
        </w:rPr>
      </w:pPr>
      <w:r w:rsidRPr="00854CA4">
        <w:rPr>
          <w:rFonts w:ascii="Times New Roman" w:hAnsi="Times New Roman"/>
          <w:color w:val="000000" w:themeColor="text1"/>
          <w:sz w:val="24"/>
          <w:szCs w:val="24"/>
        </w:rPr>
        <w:t>Convenio 1159 de 2019, suscrito con  Fideicomiso Lagos de Torca, presenta un saldo de $186.863.999, cuyo objeto es “</w:t>
      </w:r>
      <w:r w:rsidRPr="00854CA4">
        <w:rPr>
          <w:rFonts w:ascii="Times New Roman" w:hAnsi="Times New Roman"/>
          <w:i/>
          <w:color w:val="000000" w:themeColor="text1"/>
          <w:sz w:val="24"/>
          <w:szCs w:val="24"/>
        </w:rPr>
        <w:t>en virtud del presente Convenio Específico de Cooperación, EL FIDEICOMISO se  compromete a Realizar los estudios y diseños de infraestructura vial y espacio público de la Avenida El Polo Occidental, tramo comprendido entre la Av. Boyacá y la Av. Paseo Los Libertadores (Autopista Norte), de conformidad con lo establecido en las normas que definen y regulan el Plan de Ordenamiento Zonal Norte,- Ciudad Lagos de Torca, con el acompañamiento del IDU, en cumplimiento de las obligaciones urbanísticas de carga general contenidas en el Decreto Distrital 088 de 2017, modificado por los Decretos Distritales 049 y 425 de 2018 y los demás documentos que lo complementan y desarrollan</w:t>
      </w:r>
      <w:r w:rsidRPr="00854CA4">
        <w:rPr>
          <w:rFonts w:ascii="Times New Roman" w:hAnsi="Times New Roman"/>
          <w:color w:val="000000" w:themeColor="text1"/>
          <w:sz w:val="24"/>
          <w:szCs w:val="24"/>
        </w:rPr>
        <w:t>”.</w:t>
      </w:r>
    </w:p>
    <w:p w14:paraId="5DEF7B77" w14:textId="77777777" w:rsidR="00854CA4" w:rsidRPr="0031578D" w:rsidRDefault="00854CA4" w:rsidP="00AB4D08">
      <w:pPr>
        <w:pStyle w:val="Prrafodelista"/>
        <w:spacing w:after="0" w:line="240" w:lineRule="auto"/>
        <w:ind w:left="0"/>
        <w:jc w:val="both"/>
        <w:rPr>
          <w:rFonts w:ascii="Times New Roman" w:hAnsi="Times New Roman"/>
          <w:sz w:val="24"/>
          <w:szCs w:val="24"/>
          <w:highlight w:val="yellow"/>
        </w:rPr>
      </w:pPr>
    </w:p>
    <w:p w14:paraId="4AFD0C24" w14:textId="77777777" w:rsidR="001B23B3" w:rsidRPr="0031578D" w:rsidRDefault="001B23B3" w:rsidP="00AB4D08">
      <w:pPr>
        <w:spacing w:after="0" w:line="240" w:lineRule="auto"/>
        <w:contextualSpacing/>
        <w:jc w:val="both"/>
        <w:rPr>
          <w:rFonts w:ascii="Times New Roman" w:hAnsi="Times New Roman"/>
          <w:sz w:val="24"/>
          <w:szCs w:val="24"/>
          <w:highlight w:val="yellow"/>
        </w:rPr>
      </w:pPr>
    </w:p>
    <w:p w14:paraId="593F0DFF" w14:textId="2707F198" w:rsidR="00F249E8" w:rsidRPr="008F1FA4" w:rsidRDefault="00945BB4" w:rsidP="00AB4D08">
      <w:pPr>
        <w:pStyle w:val="Ttulo1"/>
        <w:contextualSpacing/>
        <w:rPr>
          <w:rFonts w:cs="Times New Roman"/>
          <w:sz w:val="24"/>
          <w:szCs w:val="24"/>
        </w:rPr>
      </w:pPr>
      <w:bookmarkStart w:id="71" w:name="_Toc32317283"/>
      <w:r w:rsidRPr="008F1FA4">
        <w:rPr>
          <w:rFonts w:cs="Times New Roman"/>
          <w:sz w:val="24"/>
          <w:szCs w:val="24"/>
        </w:rPr>
        <w:t>NOTA 2</w:t>
      </w:r>
      <w:r w:rsidR="00521FE4" w:rsidRPr="008F1FA4">
        <w:rPr>
          <w:rFonts w:cs="Times New Roman"/>
          <w:sz w:val="24"/>
          <w:szCs w:val="24"/>
        </w:rPr>
        <w:t>5</w:t>
      </w:r>
      <w:r w:rsidRPr="008F1FA4">
        <w:rPr>
          <w:rFonts w:cs="Times New Roman"/>
          <w:sz w:val="24"/>
          <w:szCs w:val="24"/>
        </w:rPr>
        <w:t>. ACTIVOS Y PASIVOS CONTINGENTES</w:t>
      </w:r>
      <w:bookmarkEnd w:id="71"/>
    </w:p>
    <w:p w14:paraId="10102A8D" w14:textId="77777777" w:rsidR="00AA74EC" w:rsidRPr="008F1FA4" w:rsidRDefault="00AA74EC" w:rsidP="00AB4D08">
      <w:pPr>
        <w:spacing w:after="0" w:line="240" w:lineRule="auto"/>
        <w:contextualSpacing/>
        <w:jc w:val="both"/>
        <w:rPr>
          <w:rFonts w:ascii="Times New Roman" w:hAnsi="Times New Roman"/>
          <w:b/>
          <w:sz w:val="24"/>
          <w:szCs w:val="24"/>
        </w:rPr>
      </w:pPr>
    </w:p>
    <w:p w14:paraId="573D1A12" w14:textId="531ACBB7" w:rsidR="00AA74EC" w:rsidRPr="008F1FA4" w:rsidRDefault="0062158F" w:rsidP="00AB4D08">
      <w:pPr>
        <w:pStyle w:val="Ttulo2"/>
        <w:numPr>
          <w:ilvl w:val="1"/>
          <w:numId w:val="32"/>
        </w:numPr>
        <w:spacing w:line="240" w:lineRule="auto"/>
        <w:ind w:left="567" w:hanging="567"/>
        <w:contextualSpacing/>
        <w:rPr>
          <w:rFonts w:cs="Times New Roman"/>
          <w:szCs w:val="24"/>
        </w:rPr>
      </w:pPr>
      <w:bookmarkStart w:id="72" w:name="_Toc32317284"/>
      <w:r w:rsidRPr="008F1FA4">
        <w:rPr>
          <w:rFonts w:cs="Times New Roman"/>
          <w:szCs w:val="24"/>
        </w:rPr>
        <w:t>Activos contingentes</w:t>
      </w:r>
      <w:bookmarkEnd w:id="72"/>
    </w:p>
    <w:p w14:paraId="5E1DFCE1" w14:textId="77777777" w:rsidR="00AA74EC" w:rsidRDefault="00AA74EC" w:rsidP="00AB4D08">
      <w:pPr>
        <w:spacing w:after="0" w:line="240" w:lineRule="auto"/>
        <w:contextualSpacing/>
        <w:jc w:val="both"/>
        <w:rPr>
          <w:rFonts w:ascii="Times New Roman" w:hAnsi="Times New Roman"/>
          <w:b/>
          <w:sz w:val="24"/>
          <w:szCs w:val="24"/>
        </w:rPr>
      </w:pPr>
    </w:p>
    <w:p w14:paraId="0F38C6FA" w14:textId="77777777" w:rsidR="008F1FA4" w:rsidRDefault="008F1FA4" w:rsidP="00AB4D08">
      <w:pPr>
        <w:spacing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Los activos contingentes representan los posibles derechos a favor de la entidad.</w:t>
      </w:r>
    </w:p>
    <w:p w14:paraId="10361839" w14:textId="77777777" w:rsidR="008F1FA4" w:rsidRDefault="008F1FA4" w:rsidP="00AB4D08">
      <w:pPr>
        <w:spacing w:line="240" w:lineRule="auto"/>
        <w:ind w:left="567"/>
        <w:contextualSpacing/>
        <w:jc w:val="both"/>
        <w:rPr>
          <w:rFonts w:ascii="Times New Roman" w:eastAsia="Arial" w:hAnsi="Times New Roman"/>
          <w:sz w:val="24"/>
          <w:szCs w:val="24"/>
          <w:highlight w:val="white"/>
        </w:rPr>
      </w:pPr>
    </w:p>
    <w:p w14:paraId="064C0D6A" w14:textId="77777777" w:rsidR="008F1FA4" w:rsidRDefault="008F1FA4" w:rsidP="00AB4D08">
      <w:pPr>
        <w:spacing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A continuación se presenta el saldo de los activos contingentes a diciembre 31 de</w:t>
      </w:r>
      <w:r>
        <w:rPr>
          <w:rFonts w:ascii="Times New Roman" w:eastAsia="Arial" w:hAnsi="Times New Roman"/>
          <w:sz w:val="24"/>
          <w:szCs w:val="24"/>
          <w:highlight w:val="white"/>
        </w:rPr>
        <w:t>:</w:t>
      </w:r>
    </w:p>
    <w:p w14:paraId="1929CBDF" w14:textId="7F382CC8" w:rsidR="0013399E" w:rsidRDefault="0013399E" w:rsidP="00AB4D08">
      <w:pPr>
        <w:spacing w:line="240" w:lineRule="auto"/>
        <w:ind w:left="567"/>
        <w:contextualSpacing/>
        <w:jc w:val="both"/>
        <w:rPr>
          <w:rFonts w:ascii="Times New Roman" w:eastAsia="Arial" w:hAnsi="Times New Roman"/>
          <w:sz w:val="24"/>
          <w:szCs w:val="24"/>
          <w:highlight w:val="white"/>
        </w:rPr>
      </w:pPr>
    </w:p>
    <w:p w14:paraId="737EEAD2" w14:textId="0E3FE289" w:rsidR="0013399E" w:rsidRDefault="0013399E" w:rsidP="00AB4D08">
      <w:pPr>
        <w:spacing w:line="240" w:lineRule="auto"/>
        <w:ind w:left="567"/>
        <w:contextualSpacing/>
        <w:jc w:val="both"/>
        <w:rPr>
          <w:rFonts w:ascii="Times New Roman" w:eastAsia="Arial" w:hAnsi="Times New Roman"/>
          <w:sz w:val="24"/>
          <w:szCs w:val="24"/>
          <w:highlight w:val="white"/>
        </w:rPr>
      </w:pPr>
      <w:r w:rsidRPr="0013399E">
        <w:rPr>
          <w:noProof/>
          <w:highlight w:val="white"/>
          <w:lang w:eastAsia="es-CO"/>
        </w:rPr>
        <w:drawing>
          <wp:inline distT="0" distB="0" distL="0" distR="0" wp14:anchorId="7CA3B72B" wp14:editId="38EC4DAA">
            <wp:extent cx="5791835" cy="8739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91835" cy="873960"/>
                    </a:xfrm>
                    <a:prstGeom prst="rect">
                      <a:avLst/>
                    </a:prstGeom>
                    <a:noFill/>
                    <a:ln>
                      <a:noFill/>
                    </a:ln>
                  </pic:spPr>
                </pic:pic>
              </a:graphicData>
            </a:graphic>
          </wp:inline>
        </w:drawing>
      </w:r>
    </w:p>
    <w:p w14:paraId="0AA78A6B" w14:textId="77777777" w:rsidR="00716208" w:rsidRDefault="00716208" w:rsidP="00AB4D08">
      <w:pPr>
        <w:spacing w:line="240" w:lineRule="auto"/>
        <w:ind w:left="567"/>
        <w:contextualSpacing/>
        <w:jc w:val="both"/>
        <w:rPr>
          <w:rFonts w:ascii="Times New Roman" w:eastAsia="Arial" w:hAnsi="Times New Roman"/>
          <w:sz w:val="24"/>
          <w:szCs w:val="24"/>
          <w:highlight w:val="white"/>
        </w:rPr>
      </w:pPr>
    </w:p>
    <w:p w14:paraId="7D8EC4E1" w14:textId="77777777" w:rsidR="008F1FA4" w:rsidRPr="005738C4" w:rsidRDefault="008F1FA4" w:rsidP="00AB4D08">
      <w:pPr>
        <w:spacing w:line="240" w:lineRule="auto"/>
        <w:ind w:left="567"/>
        <w:contextualSpacing/>
        <w:jc w:val="both"/>
        <w:rPr>
          <w:rFonts w:ascii="Times New Roman" w:eastAsia="Arial" w:hAnsi="Times New Roman"/>
          <w:sz w:val="24"/>
          <w:szCs w:val="24"/>
          <w:highlight w:val="white"/>
        </w:rPr>
      </w:pPr>
      <w:r w:rsidRPr="005738C4">
        <w:rPr>
          <w:rFonts w:ascii="Times New Roman" w:eastAsia="Arial" w:hAnsi="Times New Roman"/>
          <w:sz w:val="24"/>
          <w:szCs w:val="24"/>
          <w:highlight w:val="white"/>
        </w:rPr>
        <w:t>Litigios y mecanismos alternativos de solución de conflictos</w:t>
      </w:r>
    </w:p>
    <w:p w14:paraId="6923E160" w14:textId="77777777" w:rsidR="008F1FA4" w:rsidRPr="005738C4" w:rsidRDefault="008F1FA4" w:rsidP="00AB4D08">
      <w:pPr>
        <w:spacing w:line="240" w:lineRule="auto"/>
        <w:ind w:left="567"/>
        <w:contextualSpacing/>
        <w:rPr>
          <w:rFonts w:ascii="Times New Roman" w:eastAsia="Arial" w:hAnsi="Times New Roman"/>
          <w:sz w:val="24"/>
          <w:szCs w:val="24"/>
          <w:highlight w:val="white"/>
        </w:rPr>
      </w:pPr>
    </w:p>
    <w:p w14:paraId="208A009C" w14:textId="6CEDA480" w:rsidR="008F1FA4" w:rsidRPr="005738C4" w:rsidRDefault="008F1FA4" w:rsidP="00AB4D08">
      <w:pPr>
        <w:spacing w:line="240" w:lineRule="auto"/>
        <w:ind w:left="567"/>
        <w:contextualSpacing/>
        <w:jc w:val="both"/>
        <w:rPr>
          <w:rFonts w:ascii="Times New Roman" w:eastAsia="Arial" w:hAnsi="Times New Roman"/>
          <w:sz w:val="24"/>
          <w:szCs w:val="24"/>
          <w:highlight w:val="white"/>
        </w:rPr>
      </w:pPr>
      <w:r w:rsidRPr="005738C4">
        <w:rPr>
          <w:rFonts w:ascii="Times New Roman" w:eastAsia="Arial" w:hAnsi="Times New Roman"/>
          <w:sz w:val="24"/>
          <w:szCs w:val="24"/>
          <w:highlight w:val="white"/>
        </w:rPr>
        <w:t>El incremento en los procesos iniciados corresponde principalmente al Tribunal de Arbitramento iniciado con el Consorcio AIA-Conca</w:t>
      </w:r>
      <w:r w:rsidR="00716208">
        <w:rPr>
          <w:rFonts w:ascii="Times New Roman" w:eastAsia="Arial" w:hAnsi="Times New Roman"/>
          <w:sz w:val="24"/>
          <w:szCs w:val="24"/>
          <w:highlight w:val="white"/>
        </w:rPr>
        <w:t xml:space="preserve"> </w:t>
      </w:r>
      <w:r w:rsidRPr="005738C4">
        <w:rPr>
          <w:rFonts w:ascii="Times New Roman" w:eastAsia="Arial" w:hAnsi="Times New Roman"/>
          <w:sz w:val="24"/>
          <w:szCs w:val="24"/>
          <w:highlight w:val="white"/>
        </w:rPr>
        <w:t>y por valor de $19.598.190.514.</w:t>
      </w:r>
    </w:p>
    <w:p w14:paraId="69462741" w14:textId="77777777" w:rsidR="008F1FA4" w:rsidRDefault="008F1FA4" w:rsidP="00AB4D08">
      <w:pPr>
        <w:spacing w:line="240" w:lineRule="auto"/>
        <w:ind w:left="567"/>
        <w:contextualSpacing/>
        <w:jc w:val="both"/>
        <w:rPr>
          <w:rFonts w:ascii="Times New Roman" w:eastAsia="Arial" w:hAnsi="Times New Roman"/>
          <w:sz w:val="24"/>
          <w:szCs w:val="24"/>
          <w:highlight w:val="white"/>
        </w:rPr>
      </w:pPr>
    </w:p>
    <w:p w14:paraId="72B939A2"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46E4E20E"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55C103A2"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68B541CE"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435CC680" w14:textId="5BF8CC0F" w:rsidR="008F1FA4" w:rsidRDefault="008F1FA4" w:rsidP="00AB4D08">
      <w:pPr>
        <w:spacing w:line="240" w:lineRule="auto"/>
        <w:ind w:left="567"/>
        <w:contextualSpacing/>
        <w:jc w:val="both"/>
        <w:rPr>
          <w:rFonts w:ascii="Times New Roman" w:eastAsia="Arial" w:hAnsi="Times New Roman"/>
          <w:sz w:val="24"/>
          <w:szCs w:val="24"/>
          <w:highlight w:val="white"/>
        </w:rPr>
      </w:pPr>
      <w:r>
        <w:rPr>
          <w:rFonts w:ascii="Times New Roman" w:eastAsia="Arial" w:hAnsi="Times New Roman"/>
          <w:sz w:val="24"/>
          <w:szCs w:val="24"/>
          <w:highlight w:val="white"/>
        </w:rPr>
        <w:lastRenderedPageBreak/>
        <w:t xml:space="preserve">A continuación se presenta el detalle de </w:t>
      </w:r>
      <w:r w:rsidRPr="002E4A43">
        <w:rPr>
          <w:rFonts w:ascii="Times New Roman" w:eastAsia="Arial" w:hAnsi="Times New Roman"/>
          <w:sz w:val="24"/>
          <w:szCs w:val="24"/>
          <w:highlight w:val="white"/>
        </w:rPr>
        <w:t xml:space="preserve">los procesos iniciados por la entidad </w:t>
      </w:r>
      <w:r>
        <w:rPr>
          <w:rFonts w:ascii="Times New Roman" w:eastAsia="Arial" w:hAnsi="Times New Roman"/>
          <w:sz w:val="24"/>
          <w:szCs w:val="24"/>
          <w:highlight w:val="white"/>
        </w:rPr>
        <w:t>a diciembre 31 de 2019</w:t>
      </w:r>
      <w:r w:rsidR="00E90A32">
        <w:rPr>
          <w:rFonts w:ascii="Times New Roman" w:eastAsia="Arial" w:hAnsi="Times New Roman"/>
          <w:sz w:val="24"/>
          <w:szCs w:val="24"/>
          <w:highlight w:val="white"/>
        </w:rPr>
        <w:t>:</w:t>
      </w:r>
    </w:p>
    <w:p w14:paraId="5937E6D4" w14:textId="77777777" w:rsidR="008F1FA4" w:rsidRDefault="008F1FA4" w:rsidP="00AB4D08">
      <w:pPr>
        <w:spacing w:line="240" w:lineRule="auto"/>
        <w:ind w:left="567"/>
        <w:contextualSpacing/>
        <w:jc w:val="both"/>
        <w:rPr>
          <w:rFonts w:ascii="Times New Roman" w:eastAsia="Arial" w:hAnsi="Times New Roman"/>
          <w:sz w:val="24"/>
          <w:szCs w:val="24"/>
          <w:highlight w:val="white"/>
        </w:rPr>
      </w:pPr>
      <w:r>
        <w:rPr>
          <w:rFonts w:ascii="Times New Roman" w:eastAsia="Arial" w:hAnsi="Times New Roman"/>
          <w:sz w:val="24"/>
          <w:szCs w:val="24"/>
          <w:highlight w:val="white"/>
        </w:rPr>
        <w:br/>
        <w:t xml:space="preserve"> </w:t>
      </w:r>
    </w:p>
    <w:bookmarkStart w:id="73" w:name="_MON_1642573852"/>
    <w:bookmarkEnd w:id="73"/>
    <w:p w14:paraId="509F340C" w14:textId="77777777" w:rsidR="008F1FA4" w:rsidRDefault="008F1FA4" w:rsidP="00AB4D08">
      <w:pPr>
        <w:spacing w:line="240" w:lineRule="auto"/>
        <w:ind w:firstLine="567"/>
        <w:contextualSpacing/>
        <w:rPr>
          <w:rFonts w:ascii="Times New Roman" w:eastAsia="Arial" w:hAnsi="Times New Roman"/>
          <w:sz w:val="24"/>
          <w:szCs w:val="24"/>
        </w:rPr>
      </w:pPr>
      <w:r>
        <w:rPr>
          <w:rFonts w:ascii="Times New Roman" w:eastAsia="Arial" w:hAnsi="Times New Roman"/>
          <w:sz w:val="24"/>
          <w:szCs w:val="24"/>
          <w:highlight w:val="white"/>
        </w:rPr>
        <w:object w:dxaOrig="5600" w:dyaOrig="2226" w14:anchorId="6053F05B">
          <v:shape id="_x0000_i1033" type="#_x0000_t75" style="width:279.85pt;height:110.7pt" o:ole="">
            <v:imagedata r:id="rId80" o:title=""/>
          </v:shape>
          <o:OLEObject Type="Embed" ProgID="Excel.Sheet.12" ShapeID="_x0000_i1033" DrawAspect="Content" ObjectID="_1643096357" r:id="rId81"/>
        </w:object>
      </w:r>
    </w:p>
    <w:p w14:paraId="0009E33C" w14:textId="77777777" w:rsidR="008F1FA4" w:rsidRPr="008F1FA4" w:rsidRDefault="008F1FA4" w:rsidP="00AB4D08">
      <w:pPr>
        <w:spacing w:after="0" w:line="240" w:lineRule="auto"/>
        <w:contextualSpacing/>
        <w:jc w:val="both"/>
        <w:rPr>
          <w:rFonts w:ascii="Times New Roman" w:hAnsi="Times New Roman"/>
          <w:b/>
          <w:sz w:val="24"/>
          <w:szCs w:val="24"/>
        </w:rPr>
      </w:pPr>
    </w:p>
    <w:p w14:paraId="0E676F94" w14:textId="3728CDEC" w:rsidR="00BF0CC0" w:rsidRPr="008F1FA4" w:rsidRDefault="00BF0CC0" w:rsidP="00AB4D08">
      <w:pPr>
        <w:pStyle w:val="Ttulo2"/>
        <w:numPr>
          <w:ilvl w:val="1"/>
          <w:numId w:val="32"/>
        </w:numPr>
        <w:spacing w:line="240" w:lineRule="auto"/>
        <w:ind w:left="567" w:hanging="567"/>
        <w:contextualSpacing/>
        <w:rPr>
          <w:rFonts w:cs="Times New Roman"/>
          <w:szCs w:val="24"/>
        </w:rPr>
      </w:pPr>
      <w:bookmarkStart w:id="74" w:name="_Toc32317285"/>
      <w:r w:rsidRPr="008F1FA4">
        <w:rPr>
          <w:rFonts w:cs="Times New Roman"/>
          <w:szCs w:val="24"/>
        </w:rPr>
        <w:t>Pasivos contingentes</w:t>
      </w:r>
      <w:bookmarkEnd w:id="74"/>
    </w:p>
    <w:p w14:paraId="31303824" w14:textId="77777777" w:rsidR="00BF0CC0" w:rsidRPr="008F1FA4" w:rsidRDefault="00BF0CC0" w:rsidP="00AB4D08">
      <w:pPr>
        <w:spacing w:after="0" w:line="240" w:lineRule="auto"/>
        <w:contextualSpacing/>
        <w:jc w:val="both"/>
        <w:rPr>
          <w:rFonts w:ascii="Times New Roman" w:hAnsi="Times New Roman"/>
          <w:b/>
          <w:sz w:val="24"/>
          <w:szCs w:val="24"/>
        </w:rPr>
      </w:pPr>
    </w:p>
    <w:p w14:paraId="4D408051" w14:textId="77777777" w:rsidR="008F1FA4" w:rsidRPr="002E4A43" w:rsidRDefault="008F1FA4" w:rsidP="00AB4D08">
      <w:pPr>
        <w:spacing w:after="0"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Los pasivos contingentes representan las obligaciones posibles, que en caso de materializarse generan salida de recursos de la entidad.</w:t>
      </w:r>
    </w:p>
    <w:p w14:paraId="5FE40212" w14:textId="77777777" w:rsidR="00955050" w:rsidRPr="002E4A43" w:rsidRDefault="00955050" w:rsidP="00AB4D08">
      <w:pPr>
        <w:spacing w:after="0" w:line="240" w:lineRule="auto"/>
        <w:ind w:left="567"/>
        <w:contextualSpacing/>
        <w:jc w:val="both"/>
        <w:rPr>
          <w:rFonts w:ascii="Times New Roman" w:eastAsia="Arial" w:hAnsi="Times New Roman"/>
          <w:sz w:val="24"/>
          <w:szCs w:val="24"/>
          <w:highlight w:val="white"/>
        </w:rPr>
      </w:pPr>
    </w:p>
    <w:p w14:paraId="6D287F08" w14:textId="77777777" w:rsidR="008F1FA4" w:rsidRDefault="008F1FA4" w:rsidP="00AB4D08">
      <w:pPr>
        <w:spacing w:after="0"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A continuación se presenta el saldo de los pasivos contingentes a</w:t>
      </w:r>
      <w:r>
        <w:rPr>
          <w:rFonts w:ascii="Times New Roman" w:eastAsia="Arial" w:hAnsi="Times New Roman"/>
          <w:sz w:val="24"/>
          <w:szCs w:val="24"/>
          <w:highlight w:val="white"/>
        </w:rPr>
        <w:t>l 31 de</w:t>
      </w:r>
      <w:r w:rsidRPr="002E4A43">
        <w:rPr>
          <w:rFonts w:ascii="Times New Roman" w:eastAsia="Arial" w:hAnsi="Times New Roman"/>
          <w:sz w:val="24"/>
          <w:szCs w:val="24"/>
          <w:highlight w:val="white"/>
        </w:rPr>
        <w:t xml:space="preserve"> diciembre de 201</w:t>
      </w:r>
      <w:r>
        <w:rPr>
          <w:rFonts w:ascii="Times New Roman" w:eastAsia="Arial" w:hAnsi="Times New Roman"/>
          <w:sz w:val="24"/>
          <w:szCs w:val="24"/>
          <w:highlight w:val="white"/>
        </w:rPr>
        <w:t>9</w:t>
      </w:r>
      <w:r w:rsidRPr="002E4A43">
        <w:rPr>
          <w:rFonts w:ascii="Times New Roman" w:eastAsia="Arial" w:hAnsi="Times New Roman"/>
          <w:sz w:val="24"/>
          <w:szCs w:val="24"/>
          <w:highlight w:val="white"/>
        </w:rPr>
        <w:t>:</w:t>
      </w:r>
    </w:p>
    <w:p w14:paraId="6F2A2A00" w14:textId="5873D4BA" w:rsidR="00716208" w:rsidRDefault="00716208" w:rsidP="00AB4D08">
      <w:pPr>
        <w:spacing w:after="0" w:line="240" w:lineRule="auto"/>
        <w:ind w:left="567"/>
        <w:contextualSpacing/>
        <w:jc w:val="both"/>
        <w:rPr>
          <w:rFonts w:ascii="Times New Roman" w:eastAsia="Arial" w:hAnsi="Times New Roman"/>
          <w:sz w:val="24"/>
          <w:szCs w:val="24"/>
          <w:highlight w:val="white"/>
        </w:rPr>
      </w:pPr>
      <w:r w:rsidRPr="00716208">
        <w:rPr>
          <w:noProof/>
          <w:highlight w:val="white"/>
          <w:lang w:eastAsia="es-CO"/>
        </w:rPr>
        <w:drawing>
          <wp:inline distT="0" distB="0" distL="0" distR="0" wp14:anchorId="4D0666B6" wp14:editId="2C940CD9">
            <wp:extent cx="5791835" cy="1039883"/>
            <wp:effectExtent l="0" t="0" r="0" b="825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1835" cy="1039883"/>
                    </a:xfrm>
                    <a:prstGeom prst="rect">
                      <a:avLst/>
                    </a:prstGeom>
                    <a:noFill/>
                    <a:ln>
                      <a:noFill/>
                    </a:ln>
                  </pic:spPr>
                </pic:pic>
              </a:graphicData>
            </a:graphic>
          </wp:inline>
        </w:drawing>
      </w:r>
    </w:p>
    <w:p w14:paraId="1C5941A0" w14:textId="77777777" w:rsidR="00716208" w:rsidRDefault="00716208" w:rsidP="00AB4D08">
      <w:pPr>
        <w:spacing w:after="0" w:line="240" w:lineRule="auto"/>
        <w:ind w:left="567"/>
        <w:contextualSpacing/>
        <w:jc w:val="both"/>
        <w:rPr>
          <w:rFonts w:ascii="Times New Roman" w:eastAsia="Arial" w:hAnsi="Times New Roman"/>
          <w:sz w:val="24"/>
          <w:szCs w:val="24"/>
          <w:highlight w:val="white"/>
        </w:rPr>
      </w:pPr>
    </w:p>
    <w:p w14:paraId="1A8F8D12" w14:textId="77777777" w:rsidR="008F1FA4" w:rsidRPr="00221E07" w:rsidRDefault="008F1FA4" w:rsidP="00AB4D08">
      <w:pPr>
        <w:spacing w:after="0" w:line="240" w:lineRule="auto"/>
        <w:ind w:left="567"/>
        <w:contextualSpacing/>
        <w:jc w:val="both"/>
        <w:rPr>
          <w:rFonts w:ascii="Times New Roman" w:eastAsia="Arial" w:hAnsi="Times New Roman"/>
          <w:sz w:val="24"/>
          <w:szCs w:val="24"/>
          <w:highlight w:val="white"/>
        </w:rPr>
      </w:pPr>
      <w:r w:rsidRPr="00221E07">
        <w:rPr>
          <w:rFonts w:ascii="Times New Roman" w:eastAsia="Arial" w:hAnsi="Times New Roman"/>
          <w:sz w:val="24"/>
          <w:szCs w:val="24"/>
          <w:highlight w:val="white"/>
        </w:rPr>
        <w:t>Litigios y mecanismos alternativos de solución de conflictos</w:t>
      </w:r>
    </w:p>
    <w:p w14:paraId="1023BCB1" w14:textId="77777777" w:rsidR="008F1FA4" w:rsidRPr="00221E07" w:rsidRDefault="008F1FA4" w:rsidP="00AB4D08">
      <w:pPr>
        <w:spacing w:after="0" w:line="240" w:lineRule="auto"/>
        <w:ind w:left="567"/>
        <w:contextualSpacing/>
        <w:jc w:val="both"/>
        <w:rPr>
          <w:rFonts w:ascii="Times New Roman" w:eastAsia="Arial" w:hAnsi="Times New Roman"/>
          <w:sz w:val="24"/>
          <w:szCs w:val="24"/>
          <w:highlight w:val="white"/>
        </w:rPr>
      </w:pPr>
    </w:p>
    <w:p w14:paraId="460A7AE9" w14:textId="77777777" w:rsidR="008F1FA4" w:rsidRPr="00221E07" w:rsidRDefault="008F1FA4" w:rsidP="00AB4D08">
      <w:pPr>
        <w:spacing w:after="0" w:line="240" w:lineRule="auto"/>
        <w:ind w:left="567"/>
        <w:contextualSpacing/>
        <w:jc w:val="both"/>
        <w:rPr>
          <w:rFonts w:ascii="Times New Roman" w:eastAsia="Arial" w:hAnsi="Times New Roman"/>
          <w:sz w:val="24"/>
          <w:szCs w:val="24"/>
          <w:highlight w:val="white"/>
        </w:rPr>
      </w:pPr>
      <w:r w:rsidRPr="00221E07">
        <w:rPr>
          <w:rFonts w:ascii="Times New Roman" w:eastAsia="Arial" w:hAnsi="Times New Roman"/>
          <w:sz w:val="24"/>
          <w:szCs w:val="24"/>
          <w:highlight w:val="white"/>
        </w:rPr>
        <w:t>Corresponde a la valoración de las pretensiones originadas en actos procesales contra el Instituto, con una probabilidad de fallo en contra de la entidad superior o igual al 10% y hasta el 50% y sobre las cuales no se ha fallado.</w:t>
      </w:r>
    </w:p>
    <w:p w14:paraId="1B1A27B8" w14:textId="77777777" w:rsidR="008F1FA4" w:rsidRPr="00221E07" w:rsidRDefault="008F1FA4" w:rsidP="00AB4D08">
      <w:pPr>
        <w:spacing w:after="0" w:line="240" w:lineRule="auto"/>
        <w:ind w:left="567"/>
        <w:contextualSpacing/>
        <w:jc w:val="both"/>
        <w:rPr>
          <w:rFonts w:ascii="Times New Roman" w:eastAsia="Arial" w:hAnsi="Times New Roman"/>
          <w:sz w:val="24"/>
          <w:szCs w:val="24"/>
          <w:highlight w:val="white"/>
        </w:rPr>
      </w:pPr>
    </w:p>
    <w:p w14:paraId="557286F9" w14:textId="77777777" w:rsidR="008F1FA4" w:rsidRPr="00221E07" w:rsidRDefault="008F1FA4" w:rsidP="00AB4D08">
      <w:pPr>
        <w:spacing w:after="0" w:line="240" w:lineRule="auto"/>
        <w:ind w:left="567"/>
        <w:contextualSpacing/>
        <w:jc w:val="both"/>
        <w:rPr>
          <w:rFonts w:ascii="Times New Roman" w:eastAsia="Arial" w:hAnsi="Times New Roman"/>
          <w:sz w:val="24"/>
          <w:szCs w:val="24"/>
          <w:highlight w:val="white"/>
        </w:rPr>
      </w:pPr>
      <w:r w:rsidRPr="00221E07">
        <w:rPr>
          <w:rFonts w:ascii="Times New Roman" w:eastAsia="Arial" w:hAnsi="Times New Roman"/>
          <w:sz w:val="24"/>
          <w:szCs w:val="24"/>
          <w:highlight w:val="white"/>
        </w:rPr>
        <w:t>El detalle se presenta a continuación:</w:t>
      </w:r>
    </w:p>
    <w:p w14:paraId="25B0E316" w14:textId="77777777" w:rsidR="008F1FA4" w:rsidRDefault="008F1FA4" w:rsidP="00AB4D08">
      <w:pPr>
        <w:pStyle w:val="Prrafodelista"/>
        <w:spacing w:after="0" w:line="240" w:lineRule="auto"/>
        <w:jc w:val="both"/>
        <w:rPr>
          <w:rFonts w:ascii="Times New Roman" w:eastAsia="Arial" w:hAnsi="Times New Roman"/>
          <w:sz w:val="24"/>
          <w:szCs w:val="24"/>
          <w:highlight w:val="white"/>
        </w:rPr>
      </w:pPr>
    </w:p>
    <w:p w14:paraId="0E049AA9" w14:textId="77777777" w:rsidR="008F1FA4" w:rsidRDefault="008F1FA4" w:rsidP="00AB4D08">
      <w:pPr>
        <w:pStyle w:val="Prrafodelista"/>
        <w:spacing w:after="0" w:line="240" w:lineRule="auto"/>
        <w:jc w:val="both"/>
        <w:rPr>
          <w:rFonts w:ascii="Times New Roman" w:eastAsia="Arial" w:hAnsi="Times New Roman"/>
          <w:sz w:val="24"/>
          <w:szCs w:val="24"/>
          <w:highlight w:val="white"/>
        </w:rPr>
      </w:pPr>
      <w:r>
        <w:rPr>
          <w:rFonts w:ascii="Times New Roman" w:eastAsia="Arial" w:hAnsi="Times New Roman"/>
          <w:noProof/>
          <w:sz w:val="24"/>
          <w:szCs w:val="24"/>
          <w:highlight w:val="white"/>
        </w:rPr>
        <w:object w:dxaOrig="6694" w:dyaOrig="1935" w14:anchorId="715F7577">
          <v:shape id="_x0000_i1034" type="#_x0000_t75" style="width:333.5pt;height:96.45pt" o:ole="">
            <v:imagedata r:id="rId83" o:title=""/>
          </v:shape>
          <o:OLEObject Type="Embed" ProgID="Excel.Sheet.12" ShapeID="_x0000_i1034" DrawAspect="Content" ObjectID="_1643096358" r:id="rId84"/>
        </w:object>
      </w:r>
    </w:p>
    <w:p w14:paraId="61AE0CCD" w14:textId="77777777" w:rsidR="008F1FA4" w:rsidRDefault="008F1FA4" w:rsidP="00AB4D08">
      <w:pPr>
        <w:pStyle w:val="Prrafodelista"/>
        <w:spacing w:after="0" w:line="240" w:lineRule="auto"/>
        <w:jc w:val="both"/>
        <w:rPr>
          <w:rFonts w:ascii="Times New Roman" w:eastAsia="Arial" w:hAnsi="Times New Roman"/>
          <w:sz w:val="24"/>
          <w:szCs w:val="24"/>
          <w:highlight w:val="white"/>
        </w:rPr>
      </w:pPr>
    </w:p>
    <w:p w14:paraId="4930555D" w14:textId="77777777" w:rsidR="00955050" w:rsidRDefault="00955050" w:rsidP="00AB4D08">
      <w:pPr>
        <w:pStyle w:val="Prrafodelista"/>
        <w:spacing w:after="0" w:line="240" w:lineRule="auto"/>
        <w:ind w:left="567"/>
        <w:jc w:val="both"/>
        <w:rPr>
          <w:rFonts w:ascii="Times New Roman" w:eastAsia="Arial" w:hAnsi="Times New Roman"/>
          <w:sz w:val="24"/>
          <w:szCs w:val="24"/>
          <w:highlight w:val="white"/>
        </w:rPr>
      </w:pPr>
    </w:p>
    <w:p w14:paraId="5E47AF0B" w14:textId="77777777" w:rsidR="00955050" w:rsidRDefault="00955050" w:rsidP="00AB4D08">
      <w:pPr>
        <w:pStyle w:val="Prrafodelista"/>
        <w:spacing w:after="0" w:line="240" w:lineRule="auto"/>
        <w:ind w:left="567"/>
        <w:jc w:val="both"/>
        <w:rPr>
          <w:rFonts w:ascii="Times New Roman" w:eastAsia="Arial" w:hAnsi="Times New Roman"/>
          <w:sz w:val="24"/>
          <w:szCs w:val="24"/>
          <w:highlight w:val="white"/>
        </w:rPr>
      </w:pPr>
    </w:p>
    <w:p w14:paraId="6D2DF248" w14:textId="77777777" w:rsidR="008F1FA4" w:rsidRDefault="008F1FA4" w:rsidP="00AB4D08">
      <w:pPr>
        <w:pStyle w:val="Prrafodelista"/>
        <w:spacing w:after="0" w:line="240" w:lineRule="auto"/>
        <w:ind w:left="567"/>
        <w:jc w:val="both"/>
        <w:rPr>
          <w:rFonts w:ascii="Times New Roman" w:eastAsia="Arial" w:hAnsi="Times New Roman"/>
          <w:sz w:val="24"/>
          <w:szCs w:val="24"/>
          <w:highlight w:val="white"/>
        </w:rPr>
      </w:pPr>
      <w:r>
        <w:rPr>
          <w:rFonts w:ascii="Times New Roman" w:eastAsia="Arial" w:hAnsi="Times New Roman"/>
          <w:sz w:val="24"/>
          <w:szCs w:val="24"/>
          <w:highlight w:val="white"/>
        </w:rPr>
        <w:lastRenderedPageBreak/>
        <w:t xml:space="preserve">Los procesos administrativos </w:t>
      </w:r>
      <w:r w:rsidRPr="002E4A43">
        <w:rPr>
          <w:rFonts w:ascii="Times New Roman" w:eastAsia="Arial" w:hAnsi="Times New Roman"/>
          <w:sz w:val="24"/>
          <w:szCs w:val="24"/>
          <w:highlight w:val="white"/>
        </w:rPr>
        <w:t>más representativos al 31 de diciembre de 201</w:t>
      </w:r>
      <w:r>
        <w:rPr>
          <w:rFonts w:ascii="Times New Roman" w:eastAsia="Arial" w:hAnsi="Times New Roman"/>
          <w:sz w:val="24"/>
          <w:szCs w:val="24"/>
          <w:highlight w:val="white"/>
        </w:rPr>
        <w:t>9</w:t>
      </w:r>
      <w:r w:rsidRPr="002E4A43">
        <w:rPr>
          <w:rFonts w:ascii="Times New Roman" w:eastAsia="Arial" w:hAnsi="Times New Roman"/>
          <w:sz w:val="24"/>
          <w:szCs w:val="24"/>
          <w:highlight w:val="white"/>
        </w:rPr>
        <w:t xml:space="preserve"> son:</w:t>
      </w:r>
    </w:p>
    <w:p w14:paraId="7257ACEA" w14:textId="77777777" w:rsidR="00CC0FF9" w:rsidRDefault="00CC0FF9" w:rsidP="00AB4D08">
      <w:pPr>
        <w:pStyle w:val="Prrafodelista"/>
        <w:spacing w:after="0" w:line="240" w:lineRule="auto"/>
        <w:ind w:left="567"/>
        <w:jc w:val="both"/>
        <w:rPr>
          <w:rFonts w:ascii="Times New Roman" w:eastAsia="Arial" w:hAnsi="Times New Roman"/>
          <w:sz w:val="24"/>
          <w:szCs w:val="24"/>
          <w:highlight w:val="white"/>
        </w:rPr>
      </w:pPr>
    </w:p>
    <w:p w14:paraId="289171A3" w14:textId="2B041CBC" w:rsidR="00CC0FF9" w:rsidRDefault="00CC0FF9" w:rsidP="00AB4D08">
      <w:pPr>
        <w:pStyle w:val="Prrafodelista"/>
        <w:spacing w:after="0" w:line="240" w:lineRule="auto"/>
        <w:ind w:left="567"/>
        <w:jc w:val="both"/>
        <w:rPr>
          <w:rFonts w:ascii="Times New Roman" w:eastAsia="Arial" w:hAnsi="Times New Roman"/>
          <w:sz w:val="24"/>
          <w:szCs w:val="24"/>
          <w:highlight w:val="white"/>
        </w:rPr>
      </w:pPr>
      <w:r>
        <w:rPr>
          <w:rFonts w:ascii="Times New Roman" w:eastAsia="Arial" w:hAnsi="Times New Roman"/>
          <w:sz w:val="24"/>
          <w:szCs w:val="24"/>
          <w:highlight w:val="white"/>
        </w:rPr>
        <w:object w:dxaOrig="10005" w:dyaOrig="7572" w14:anchorId="50B0D5BA">
          <v:shape id="_x0000_i1035" type="#_x0000_t75" style="width:411.6pt;height:311.75pt" o:ole="">
            <v:imagedata r:id="rId85" o:title=""/>
          </v:shape>
          <o:OLEObject Type="Embed" ProgID="Excel.Sheet.12" ShapeID="_x0000_i1035" DrawAspect="Content" ObjectID="_1643096359" r:id="rId86"/>
        </w:object>
      </w:r>
    </w:p>
    <w:p w14:paraId="6EC151F4" w14:textId="77777777" w:rsidR="00CC0FF9" w:rsidRDefault="00CC0FF9" w:rsidP="00AB4D08">
      <w:pPr>
        <w:pStyle w:val="Prrafodelista"/>
        <w:spacing w:after="0" w:line="240" w:lineRule="auto"/>
        <w:ind w:left="567"/>
        <w:jc w:val="both"/>
        <w:rPr>
          <w:rFonts w:ascii="Times New Roman" w:eastAsia="Arial" w:hAnsi="Times New Roman"/>
          <w:sz w:val="24"/>
          <w:szCs w:val="24"/>
          <w:highlight w:val="white"/>
        </w:rPr>
      </w:pPr>
    </w:p>
    <w:p w14:paraId="2A19A5F8" w14:textId="376314CA" w:rsidR="008F1FA4" w:rsidRPr="00D73265" w:rsidRDefault="00CC0FF9" w:rsidP="00AB4D08">
      <w:pPr>
        <w:pStyle w:val="Prrafodelista"/>
        <w:spacing w:after="0" w:line="240" w:lineRule="auto"/>
        <w:ind w:left="567"/>
        <w:jc w:val="both"/>
        <w:rPr>
          <w:rFonts w:ascii="Times New Roman" w:eastAsia="Arial" w:hAnsi="Times New Roman"/>
          <w:sz w:val="24"/>
          <w:szCs w:val="24"/>
        </w:rPr>
      </w:pPr>
      <w:r w:rsidRPr="00D73265">
        <w:rPr>
          <w:rFonts w:ascii="Times New Roman" w:eastAsia="Arial" w:hAnsi="Times New Roman"/>
          <w:sz w:val="24"/>
          <w:szCs w:val="24"/>
        </w:rPr>
        <w:t>De acuerdo con el reporte SIPROJ el proceso 2005-02127 se encuentra clasificado como probable, puesto que presenta un primer fallo desfavorable para el IDU</w:t>
      </w:r>
      <w:r w:rsidR="00D73265" w:rsidRPr="00D73265">
        <w:rPr>
          <w:rFonts w:ascii="Times New Roman" w:eastAsia="Arial" w:hAnsi="Times New Roman"/>
          <w:sz w:val="24"/>
          <w:szCs w:val="24"/>
        </w:rPr>
        <w:t xml:space="preserve">, con una valoración </w:t>
      </w:r>
      <w:r w:rsidRPr="00D73265">
        <w:rPr>
          <w:rFonts w:ascii="Times New Roman" w:eastAsia="Arial" w:hAnsi="Times New Roman"/>
          <w:sz w:val="24"/>
          <w:szCs w:val="24"/>
        </w:rPr>
        <w:t>de $62.381.079.086, después de realizado el análisis de la sentencia de primera instancia, la Dirección Técnica de Gestión Judicial informa que la condena está por un</w:t>
      </w:r>
      <w:r w:rsidR="00D73265" w:rsidRPr="00D73265">
        <w:rPr>
          <w:rFonts w:ascii="Times New Roman" w:eastAsia="Arial" w:hAnsi="Times New Roman"/>
          <w:sz w:val="24"/>
          <w:szCs w:val="24"/>
        </w:rPr>
        <w:t>a</w:t>
      </w:r>
      <w:r w:rsidRPr="00D73265">
        <w:rPr>
          <w:rFonts w:ascii="Times New Roman" w:eastAsia="Arial" w:hAnsi="Times New Roman"/>
          <w:sz w:val="24"/>
          <w:szCs w:val="24"/>
        </w:rPr>
        <w:t xml:space="preserve">  </w:t>
      </w:r>
      <w:r w:rsidR="00D73265" w:rsidRPr="00D73265">
        <w:rPr>
          <w:rFonts w:ascii="Times New Roman" w:eastAsia="Arial" w:hAnsi="Times New Roman"/>
          <w:sz w:val="24"/>
          <w:szCs w:val="24"/>
        </w:rPr>
        <w:t>suma inferior a la valoración</w:t>
      </w:r>
      <w:r w:rsidRPr="00D73265">
        <w:rPr>
          <w:rFonts w:ascii="Times New Roman" w:eastAsia="Arial" w:hAnsi="Times New Roman"/>
          <w:sz w:val="24"/>
          <w:szCs w:val="24"/>
        </w:rPr>
        <w:t xml:space="preserve">, </w:t>
      </w:r>
      <w:r w:rsidR="006B4ED0">
        <w:rPr>
          <w:rFonts w:ascii="Times New Roman" w:eastAsia="Arial" w:hAnsi="Times New Roman"/>
          <w:sz w:val="24"/>
          <w:szCs w:val="24"/>
        </w:rPr>
        <w:t xml:space="preserve">por lo tanto la provisión se registra </w:t>
      </w:r>
      <w:r w:rsidR="00D73265">
        <w:rPr>
          <w:rFonts w:ascii="Times New Roman" w:eastAsia="Arial" w:hAnsi="Times New Roman"/>
          <w:sz w:val="24"/>
          <w:szCs w:val="24"/>
        </w:rPr>
        <w:t xml:space="preserve">de acuerdo con </w:t>
      </w:r>
      <w:r w:rsidR="00D73265" w:rsidRPr="00D73265">
        <w:rPr>
          <w:rFonts w:ascii="Times New Roman" w:eastAsia="Arial" w:hAnsi="Times New Roman"/>
          <w:sz w:val="24"/>
          <w:szCs w:val="24"/>
        </w:rPr>
        <w:t xml:space="preserve">la suma aproximada establecida </w:t>
      </w:r>
      <w:r w:rsidRPr="00D73265">
        <w:rPr>
          <w:rFonts w:ascii="Times New Roman" w:eastAsia="Arial" w:hAnsi="Times New Roman"/>
          <w:sz w:val="24"/>
          <w:szCs w:val="24"/>
        </w:rPr>
        <w:t xml:space="preserve">en la sentencia y la diferencia se registra </w:t>
      </w:r>
      <w:r w:rsidR="00D73265">
        <w:rPr>
          <w:rFonts w:ascii="Times New Roman" w:eastAsia="Arial" w:hAnsi="Times New Roman"/>
          <w:sz w:val="24"/>
          <w:szCs w:val="24"/>
        </w:rPr>
        <w:t>como una obligación contingente.</w:t>
      </w:r>
    </w:p>
    <w:p w14:paraId="1E5F836B" w14:textId="77777777" w:rsidR="00CC0FF9" w:rsidRPr="00524A77" w:rsidRDefault="00CC0FF9" w:rsidP="00AB4D08">
      <w:pPr>
        <w:spacing w:after="0" w:line="240" w:lineRule="auto"/>
        <w:ind w:left="567"/>
        <w:contextualSpacing/>
        <w:jc w:val="both"/>
        <w:rPr>
          <w:rFonts w:ascii="Times New Roman" w:hAnsi="Times New Roman"/>
          <w:sz w:val="24"/>
          <w:szCs w:val="24"/>
          <w:highlight w:val="yellow"/>
          <w:u w:val="single"/>
        </w:rPr>
      </w:pPr>
    </w:p>
    <w:p w14:paraId="3500DDC8" w14:textId="77777777" w:rsidR="008F1FA4" w:rsidRPr="002E4A43" w:rsidRDefault="008F1FA4" w:rsidP="00AB4D08">
      <w:pPr>
        <w:spacing w:after="0"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Como Otros litigios y mecanismos alternativos de solución de conflictos se registran: conciliaciones extrajudiciales por el valor de la pretensión inicial de $</w:t>
      </w:r>
      <w:r>
        <w:rPr>
          <w:rFonts w:ascii="Times New Roman" w:eastAsia="Arial" w:hAnsi="Times New Roman"/>
          <w:sz w:val="24"/>
          <w:szCs w:val="24"/>
          <w:highlight w:val="white"/>
        </w:rPr>
        <w:t>61.362.817.075</w:t>
      </w:r>
      <w:r w:rsidRPr="002E4A43">
        <w:rPr>
          <w:rFonts w:ascii="Times New Roman" w:eastAsia="Arial" w:hAnsi="Times New Roman"/>
          <w:sz w:val="24"/>
          <w:szCs w:val="24"/>
          <w:highlight w:val="white"/>
        </w:rPr>
        <w:t>, acciones de grupo de acuerdo con la valoración por $</w:t>
      </w:r>
      <w:r>
        <w:rPr>
          <w:rFonts w:ascii="Times New Roman" w:eastAsia="Arial" w:hAnsi="Times New Roman"/>
          <w:sz w:val="24"/>
          <w:szCs w:val="24"/>
          <w:highlight w:val="white"/>
        </w:rPr>
        <w:t xml:space="preserve">71.796.798.226, y </w:t>
      </w:r>
      <w:r w:rsidRPr="002E4A43">
        <w:rPr>
          <w:rFonts w:ascii="Times New Roman" w:eastAsia="Arial" w:hAnsi="Times New Roman"/>
          <w:sz w:val="24"/>
          <w:szCs w:val="24"/>
          <w:highlight w:val="white"/>
        </w:rPr>
        <w:t>otr</w:t>
      </w:r>
      <w:r>
        <w:rPr>
          <w:rFonts w:ascii="Times New Roman" w:eastAsia="Arial" w:hAnsi="Times New Roman"/>
          <w:sz w:val="24"/>
          <w:szCs w:val="24"/>
          <w:highlight w:val="white"/>
        </w:rPr>
        <w:t>os litigios por $30.747.068.471</w:t>
      </w:r>
    </w:p>
    <w:p w14:paraId="7D490E74" w14:textId="77777777" w:rsidR="008F1FA4" w:rsidRPr="002E4A43" w:rsidRDefault="008F1FA4" w:rsidP="00AB4D08">
      <w:pPr>
        <w:spacing w:after="0" w:line="240" w:lineRule="auto"/>
        <w:ind w:left="567"/>
        <w:contextualSpacing/>
        <w:jc w:val="both"/>
        <w:rPr>
          <w:rFonts w:ascii="Times New Roman" w:eastAsia="Arial" w:hAnsi="Times New Roman"/>
          <w:sz w:val="24"/>
          <w:szCs w:val="24"/>
          <w:highlight w:val="white"/>
        </w:rPr>
      </w:pPr>
    </w:p>
    <w:p w14:paraId="76BC7F4F" w14:textId="77777777" w:rsidR="008F1FA4" w:rsidRDefault="008F1FA4" w:rsidP="00AB4D08">
      <w:pPr>
        <w:spacing w:after="0"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De acuerdo con el reporte SIPROJ a diciembre de 201</w:t>
      </w:r>
      <w:r>
        <w:rPr>
          <w:rFonts w:ascii="Times New Roman" w:eastAsia="Arial" w:hAnsi="Times New Roman"/>
          <w:sz w:val="24"/>
          <w:szCs w:val="24"/>
          <w:highlight w:val="white"/>
        </w:rPr>
        <w:t>9</w:t>
      </w:r>
      <w:r w:rsidRPr="002E4A43">
        <w:rPr>
          <w:rFonts w:ascii="Times New Roman" w:eastAsia="Arial" w:hAnsi="Times New Roman"/>
          <w:sz w:val="24"/>
          <w:szCs w:val="24"/>
          <w:highlight w:val="white"/>
        </w:rPr>
        <w:t xml:space="preserve"> el proceso</w:t>
      </w:r>
      <w:r>
        <w:rPr>
          <w:rFonts w:ascii="Times New Roman" w:eastAsia="Arial" w:hAnsi="Times New Roman"/>
          <w:sz w:val="24"/>
          <w:szCs w:val="24"/>
          <w:highlight w:val="white"/>
        </w:rPr>
        <w:t xml:space="preserve"> civil</w:t>
      </w:r>
      <w:r w:rsidRPr="002E4A43">
        <w:rPr>
          <w:rFonts w:ascii="Times New Roman" w:eastAsia="Arial" w:hAnsi="Times New Roman"/>
          <w:sz w:val="24"/>
          <w:szCs w:val="24"/>
          <w:highlight w:val="white"/>
        </w:rPr>
        <w:t xml:space="preserve"> 2006-00622 </w:t>
      </w:r>
      <w:r>
        <w:rPr>
          <w:rFonts w:ascii="Times New Roman" w:eastAsia="Arial" w:hAnsi="Times New Roman"/>
          <w:sz w:val="24"/>
          <w:szCs w:val="24"/>
          <w:highlight w:val="white"/>
        </w:rPr>
        <w:t xml:space="preserve">y la acción popular 2019-00302 </w:t>
      </w:r>
      <w:r w:rsidRPr="002E4A43">
        <w:rPr>
          <w:rFonts w:ascii="Times New Roman" w:eastAsia="Arial" w:hAnsi="Times New Roman"/>
          <w:sz w:val="24"/>
          <w:szCs w:val="24"/>
          <w:highlight w:val="white"/>
        </w:rPr>
        <w:t>se presenta con una probabilidad remota de presentar fallo en contra de la entidad.</w:t>
      </w:r>
      <w:r>
        <w:rPr>
          <w:rFonts w:ascii="Times New Roman" w:eastAsia="Arial" w:hAnsi="Times New Roman"/>
          <w:sz w:val="24"/>
          <w:szCs w:val="24"/>
          <w:highlight w:val="white"/>
        </w:rPr>
        <w:t xml:space="preserve"> </w:t>
      </w:r>
    </w:p>
    <w:p w14:paraId="5947ECE8" w14:textId="77777777" w:rsidR="00955050" w:rsidRDefault="00955050" w:rsidP="00AB4D08">
      <w:pPr>
        <w:spacing w:after="0" w:line="240" w:lineRule="auto"/>
        <w:ind w:left="567"/>
        <w:contextualSpacing/>
        <w:jc w:val="both"/>
        <w:rPr>
          <w:rFonts w:ascii="Times New Roman" w:eastAsia="Arial" w:hAnsi="Times New Roman"/>
          <w:sz w:val="24"/>
          <w:szCs w:val="24"/>
          <w:highlight w:val="white"/>
        </w:rPr>
      </w:pPr>
    </w:p>
    <w:p w14:paraId="375863F0" w14:textId="77777777" w:rsidR="00955050" w:rsidRDefault="00955050" w:rsidP="00AB4D08">
      <w:pPr>
        <w:spacing w:after="0" w:line="240" w:lineRule="auto"/>
        <w:ind w:left="567"/>
        <w:contextualSpacing/>
        <w:jc w:val="both"/>
        <w:rPr>
          <w:rFonts w:ascii="Times New Roman" w:eastAsia="Arial" w:hAnsi="Times New Roman"/>
          <w:sz w:val="24"/>
          <w:szCs w:val="24"/>
          <w:highlight w:val="white"/>
        </w:rPr>
      </w:pPr>
    </w:p>
    <w:p w14:paraId="674A4CC7" w14:textId="77777777" w:rsidR="008F1FA4" w:rsidRDefault="008F1FA4" w:rsidP="00AB4D08">
      <w:pPr>
        <w:spacing w:after="0" w:line="240" w:lineRule="auto"/>
        <w:ind w:left="567"/>
        <w:contextualSpacing/>
        <w:jc w:val="both"/>
        <w:rPr>
          <w:rFonts w:ascii="Times New Roman" w:eastAsia="Arial" w:hAnsi="Times New Roman"/>
          <w:sz w:val="24"/>
          <w:szCs w:val="24"/>
          <w:highlight w:val="white"/>
        </w:rPr>
      </w:pPr>
    </w:p>
    <w:p w14:paraId="7BAAD70C" w14:textId="44AE10CD" w:rsidR="008F1FA4" w:rsidRPr="008F1FA4" w:rsidRDefault="008F1FA4" w:rsidP="00AB4D08">
      <w:pPr>
        <w:pStyle w:val="Ttulo2"/>
        <w:numPr>
          <w:ilvl w:val="1"/>
          <w:numId w:val="32"/>
        </w:numPr>
        <w:spacing w:line="240" w:lineRule="auto"/>
        <w:ind w:left="567" w:hanging="567"/>
        <w:contextualSpacing/>
        <w:rPr>
          <w:rFonts w:cs="Times New Roman"/>
          <w:szCs w:val="24"/>
        </w:rPr>
      </w:pPr>
      <w:bookmarkStart w:id="75" w:name="_Toc32317286"/>
      <w:r>
        <w:rPr>
          <w:rFonts w:cs="Times New Roman"/>
          <w:szCs w:val="24"/>
        </w:rPr>
        <w:lastRenderedPageBreak/>
        <w:t>Otros pasivos contingentes</w:t>
      </w:r>
      <w:bookmarkEnd w:id="75"/>
    </w:p>
    <w:p w14:paraId="28706A4D" w14:textId="77777777" w:rsidR="008F1FA4" w:rsidRPr="002E4A43" w:rsidRDefault="008F1FA4" w:rsidP="00AB4D08">
      <w:pPr>
        <w:spacing w:after="0" w:line="240" w:lineRule="auto"/>
        <w:ind w:left="567"/>
        <w:contextualSpacing/>
        <w:jc w:val="both"/>
        <w:rPr>
          <w:rFonts w:ascii="Times New Roman" w:eastAsia="Arial" w:hAnsi="Times New Roman"/>
          <w:sz w:val="24"/>
          <w:szCs w:val="24"/>
          <w:highlight w:val="white"/>
        </w:rPr>
      </w:pPr>
    </w:p>
    <w:p w14:paraId="11A14962" w14:textId="77777777" w:rsidR="008F1FA4" w:rsidRPr="002E4A43" w:rsidRDefault="008F1FA4" w:rsidP="00AB4D08">
      <w:pPr>
        <w:tabs>
          <w:tab w:val="left" w:pos="567"/>
        </w:tabs>
        <w:spacing w:after="0"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Los otros pasivos contingentes por valor de $</w:t>
      </w:r>
      <w:r>
        <w:rPr>
          <w:rFonts w:ascii="Times New Roman" w:eastAsia="Arial" w:hAnsi="Times New Roman"/>
          <w:sz w:val="24"/>
          <w:szCs w:val="24"/>
          <w:highlight w:val="white"/>
        </w:rPr>
        <w:t>1.373.716.329.931</w:t>
      </w:r>
      <w:r w:rsidRPr="002E4A43">
        <w:rPr>
          <w:rFonts w:ascii="Times New Roman" w:eastAsia="Arial" w:hAnsi="Times New Roman"/>
          <w:sz w:val="24"/>
          <w:szCs w:val="24"/>
          <w:highlight w:val="white"/>
        </w:rPr>
        <w:t xml:space="preserve"> corresponden a los saldos por ejecutar de los compromisos generados en la suscripción de contratos, por parte del Instituto, para la ejecución de obras y funcionamiento de la entidad.</w:t>
      </w:r>
    </w:p>
    <w:p w14:paraId="4E68142E" w14:textId="77777777" w:rsidR="00663FE0" w:rsidRDefault="00663FE0" w:rsidP="00AB4D08">
      <w:pPr>
        <w:spacing w:after="0" w:line="240" w:lineRule="auto"/>
        <w:contextualSpacing/>
        <w:jc w:val="both"/>
        <w:rPr>
          <w:rFonts w:ascii="Times New Roman" w:hAnsi="Times New Roman"/>
          <w:sz w:val="24"/>
          <w:szCs w:val="24"/>
        </w:rPr>
      </w:pPr>
    </w:p>
    <w:p w14:paraId="09DB0972" w14:textId="41672F19" w:rsidR="00663FE0" w:rsidRPr="00807E7A" w:rsidRDefault="00663FE0" w:rsidP="00AB4D08">
      <w:pPr>
        <w:pStyle w:val="Ttulo1"/>
        <w:contextualSpacing/>
        <w:rPr>
          <w:rFonts w:cs="Times New Roman"/>
          <w:sz w:val="24"/>
          <w:szCs w:val="24"/>
        </w:rPr>
      </w:pPr>
      <w:bookmarkStart w:id="76" w:name="_Toc32317287"/>
      <w:r w:rsidRPr="00807E7A">
        <w:rPr>
          <w:rFonts w:cs="Times New Roman"/>
          <w:sz w:val="24"/>
          <w:szCs w:val="24"/>
        </w:rPr>
        <w:t>NOTA 26. CUENTAS DE ORDEN</w:t>
      </w:r>
      <w:bookmarkEnd w:id="76"/>
    </w:p>
    <w:p w14:paraId="330620FF" w14:textId="77777777" w:rsidR="00663FE0" w:rsidRPr="00807E7A" w:rsidRDefault="00663FE0" w:rsidP="00AB4D08">
      <w:pPr>
        <w:spacing w:after="0" w:line="240" w:lineRule="auto"/>
        <w:contextualSpacing/>
        <w:jc w:val="both"/>
        <w:rPr>
          <w:rFonts w:ascii="Times New Roman" w:hAnsi="Times New Roman"/>
          <w:b/>
          <w:sz w:val="24"/>
          <w:szCs w:val="24"/>
        </w:rPr>
      </w:pPr>
    </w:p>
    <w:p w14:paraId="0D2CB486" w14:textId="5BD01659" w:rsidR="00663FE0" w:rsidRPr="00807E7A" w:rsidRDefault="00807E7A" w:rsidP="00AB4D08">
      <w:pPr>
        <w:pStyle w:val="Ttulo2"/>
        <w:numPr>
          <w:ilvl w:val="1"/>
          <w:numId w:val="34"/>
        </w:numPr>
        <w:spacing w:line="240" w:lineRule="auto"/>
        <w:ind w:left="567" w:hanging="567"/>
        <w:contextualSpacing/>
        <w:rPr>
          <w:rFonts w:cs="Times New Roman"/>
          <w:szCs w:val="24"/>
        </w:rPr>
      </w:pPr>
      <w:bookmarkStart w:id="77" w:name="_Toc32317288"/>
      <w:r>
        <w:rPr>
          <w:rFonts w:cs="Times New Roman"/>
          <w:szCs w:val="24"/>
        </w:rPr>
        <w:t>Derechos contingentes</w:t>
      </w:r>
      <w:bookmarkEnd w:id="77"/>
    </w:p>
    <w:p w14:paraId="07164303" w14:textId="77777777" w:rsidR="00663FE0" w:rsidRPr="00807E7A" w:rsidRDefault="00663FE0" w:rsidP="00AB4D08">
      <w:pPr>
        <w:spacing w:after="0" w:line="240" w:lineRule="auto"/>
        <w:ind w:left="567"/>
        <w:contextualSpacing/>
        <w:jc w:val="both"/>
        <w:rPr>
          <w:rFonts w:ascii="Times New Roman" w:hAnsi="Times New Roman"/>
          <w:sz w:val="24"/>
          <w:szCs w:val="24"/>
        </w:rPr>
      </w:pPr>
    </w:p>
    <w:p w14:paraId="1DB021A7" w14:textId="77777777" w:rsidR="00807E7A" w:rsidRPr="00807E7A" w:rsidRDefault="00807E7A" w:rsidP="00AB4D08">
      <w:pPr>
        <w:spacing w:line="240" w:lineRule="auto"/>
        <w:ind w:left="567"/>
        <w:contextualSpacing/>
        <w:jc w:val="both"/>
        <w:rPr>
          <w:rFonts w:ascii="Times New Roman" w:eastAsia="Arial" w:hAnsi="Times New Roman"/>
          <w:sz w:val="24"/>
          <w:szCs w:val="24"/>
        </w:rPr>
      </w:pPr>
      <w:r w:rsidRPr="00807E7A">
        <w:rPr>
          <w:rFonts w:ascii="Times New Roman" w:eastAsia="Arial" w:hAnsi="Times New Roman"/>
          <w:sz w:val="24"/>
          <w:szCs w:val="24"/>
        </w:rPr>
        <w:t>Intereses de mora valorización</w:t>
      </w:r>
    </w:p>
    <w:p w14:paraId="0907C083" w14:textId="77777777" w:rsidR="00807E7A" w:rsidRPr="00807E7A" w:rsidRDefault="00807E7A" w:rsidP="00AB4D08">
      <w:pPr>
        <w:spacing w:line="240" w:lineRule="auto"/>
        <w:ind w:left="567"/>
        <w:contextualSpacing/>
        <w:jc w:val="both"/>
        <w:rPr>
          <w:rFonts w:ascii="Times New Roman" w:eastAsia="Arial" w:hAnsi="Times New Roman"/>
          <w:sz w:val="24"/>
          <w:szCs w:val="24"/>
        </w:rPr>
      </w:pPr>
    </w:p>
    <w:p w14:paraId="097127F3" w14:textId="77777777" w:rsidR="00807E7A" w:rsidRDefault="00807E7A" w:rsidP="00AB4D08">
      <w:pPr>
        <w:spacing w:line="240" w:lineRule="auto"/>
        <w:ind w:left="567"/>
        <w:contextualSpacing/>
        <w:jc w:val="both"/>
        <w:rPr>
          <w:rFonts w:ascii="Times New Roman" w:eastAsia="Arial" w:hAnsi="Times New Roman"/>
          <w:sz w:val="24"/>
          <w:szCs w:val="24"/>
        </w:rPr>
      </w:pPr>
      <w:r w:rsidRPr="00807E7A">
        <w:rPr>
          <w:rFonts w:ascii="Times New Roman" w:eastAsia="Arial" w:hAnsi="Times New Roman"/>
          <w:sz w:val="24"/>
          <w:szCs w:val="24"/>
        </w:rPr>
        <w:t xml:space="preserve">Los intereses de mora de contribución por valorización se discriminan de la siguiente manera: </w:t>
      </w:r>
    </w:p>
    <w:p w14:paraId="3D44E88E" w14:textId="77777777" w:rsidR="00DE155C" w:rsidRDefault="00DE155C" w:rsidP="00AB4D08">
      <w:pPr>
        <w:spacing w:line="240" w:lineRule="auto"/>
        <w:ind w:left="567"/>
        <w:contextualSpacing/>
        <w:jc w:val="both"/>
        <w:rPr>
          <w:rFonts w:ascii="Times New Roman" w:eastAsia="Arial" w:hAnsi="Times New Roman"/>
          <w:sz w:val="24"/>
          <w:szCs w:val="24"/>
        </w:rPr>
      </w:pPr>
    </w:p>
    <w:tbl>
      <w:tblPr>
        <w:tblW w:w="8840" w:type="dxa"/>
        <w:tblCellMar>
          <w:left w:w="70" w:type="dxa"/>
          <w:right w:w="70" w:type="dxa"/>
        </w:tblCellMar>
        <w:tblLook w:val="04A0" w:firstRow="1" w:lastRow="0" w:firstColumn="1" w:lastColumn="0" w:noHBand="0" w:noVBand="1"/>
      </w:tblPr>
      <w:tblGrid>
        <w:gridCol w:w="5020"/>
        <w:gridCol w:w="1880"/>
        <w:gridCol w:w="1940"/>
      </w:tblGrid>
      <w:tr w:rsidR="00DE155C" w:rsidRPr="00DE155C" w14:paraId="298C757B" w14:textId="77777777" w:rsidTr="00DE155C">
        <w:trPr>
          <w:trHeight w:val="255"/>
        </w:trPr>
        <w:tc>
          <w:tcPr>
            <w:tcW w:w="5020" w:type="dxa"/>
            <w:tcBorders>
              <w:top w:val="single" w:sz="4" w:space="0" w:color="auto"/>
              <w:left w:val="single" w:sz="4" w:space="0" w:color="auto"/>
              <w:bottom w:val="single" w:sz="4" w:space="0" w:color="auto"/>
              <w:right w:val="single" w:sz="4" w:space="0" w:color="auto"/>
            </w:tcBorders>
            <w:shd w:val="clear" w:color="000000" w:fill="D9D9D9"/>
            <w:noWrap/>
            <w:hideMark/>
          </w:tcPr>
          <w:p w14:paraId="5F9C5F98" w14:textId="77777777" w:rsidR="00DE155C" w:rsidRPr="00DE155C" w:rsidRDefault="00DE155C" w:rsidP="00AB4D08">
            <w:pPr>
              <w:spacing w:after="0" w:line="240" w:lineRule="auto"/>
              <w:contextualSpacing/>
              <w:jc w:val="center"/>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NOMBRE</w:t>
            </w:r>
          </w:p>
        </w:tc>
        <w:tc>
          <w:tcPr>
            <w:tcW w:w="1880" w:type="dxa"/>
            <w:tcBorders>
              <w:top w:val="single" w:sz="4" w:space="0" w:color="auto"/>
              <w:left w:val="nil"/>
              <w:bottom w:val="single" w:sz="4" w:space="0" w:color="auto"/>
              <w:right w:val="single" w:sz="4" w:space="0" w:color="auto"/>
            </w:tcBorders>
            <w:shd w:val="clear" w:color="000000" w:fill="D9D9D9"/>
            <w:noWrap/>
            <w:hideMark/>
          </w:tcPr>
          <w:p w14:paraId="0D0C2170" w14:textId="77777777" w:rsidR="00DE155C" w:rsidRPr="00DE155C" w:rsidRDefault="00DE155C" w:rsidP="00AB4D08">
            <w:pPr>
              <w:spacing w:after="0" w:line="240" w:lineRule="auto"/>
              <w:contextualSpacing/>
              <w:jc w:val="center"/>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2019</w:t>
            </w:r>
          </w:p>
        </w:tc>
        <w:tc>
          <w:tcPr>
            <w:tcW w:w="1940" w:type="dxa"/>
            <w:tcBorders>
              <w:top w:val="single" w:sz="4" w:space="0" w:color="auto"/>
              <w:left w:val="nil"/>
              <w:bottom w:val="single" w:sz="4" w:space="0" w:color="auto"/>
              <w:right w:val="single" w:sz="4" w:space="0" w:color="auto"/>
            </w:tcBorders>
            <w:shd w:val="clear" w:color="000000" w:fill="D9D9D9"/>
            <w:noWrap/>
            <w:hideMark/>
          </w:tcPr>
          <w:p w14:paraId="256B89A6" w14:textId="77777777" w:rsidR="00DE155C" w:rsidRPr="00DE155C" w:rsidRDefault="00DE155C" w:rsidP="00AB4D08">
            <w:pPr>
              <w:spacing w:after="0" w:line="240" w:lineRule="auto"/>
              <w:contextualSpacing/>
              <w:jc w:val="center"/>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2018</w:t>
            </w:r>
          </w:p>
        </w:tc>
      </w:tr>
      <w:tr w:rsidR="00DE155C" w:rsidRPr="00DE155C" w14:paraId="2B43784E"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0C83B0CD"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 MORA IDU AC. 180/05</w:t>
            </w:r>
          </w:p>
        </w:tc>
        <w:tc>
          <w:tcPr>
            <w:tcW w:w="1880" w:type="dxa"/>
            <w:tcBorders>
              <w:top w:val="nil"/>
              <w:left w:val="nil"/>
              <w:bottom w:val="nil"/>
              <w:right w:val="single" w:sz="4" w:space="0" w:color="auto"/>
            </w:tcBorders>
            <w:shd w:val="clear" w:color="auto" w:fill="auto"/>
            <w:noWrap/>
            <w:hideMark/>
          </w:tcPr>
          <w:p w14:paraId="33225608"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7.325.060.887</w:t>
            </w:r>
          </w:p>
        </w:tc>
        <w:tc>
          <w:tcPr>
            <w:tcW w:w="1940" w:type="dxa"/>
            <w:tcBorders>
              <w:top w:val="nil"/>
              <w:left w:val="nil"/>
              <w:bottom w:val="nil"/>
              <w:right w:val="single" w:sz="4" w:space="0" w:color="auto"/>
            </w:tcBorders>
            <w:shd w:val="clear" w:color="auto" w:fill="auto"/>
            <w:noWrap/>
            <w:hideMark/>
          </w:tcPr>
          <w:p w14:paraId="474B352A"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7.727.721.146</w:t>
            </w:r>
          </w:p>
        </w:tc>
      </w:tr>
      <w:tr w:rsidR="00DE155C" w:rsidRPr="00DE155C" w14:paraId="02BB26C7"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566B1F54"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 MORA PARQUES AC. 180/05</w:t>
            </w:r>
          </w:p>
        </w:tc>
        <w:tc>
          <w:tcPr>
            <w:tcW w:w="1880" w:type="dxa"/>
            <w:tcBorders>
              <w:top w:val="nil"/>
              <w:left w:val="nil"/>
              <w:bottom w:val="nil"/>
              <w:right w:val="single" w:sz="4" w:space="0" w:color="auto"/>
            </w:tcBorders>
            <w:shd w:val="clear" w:color="auto" w:fill="auto"/>
            <w:noWrap/>
            <w:hideMark/>
          </w:tcPr>
          <w:p w14:paraId="669DAEEF"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532.250.489</w:t>
            </w:r>
          </w:p>
        </w:tc>
        <w:tc>
          <w:tcPr>
            <w:tcW w:w="1940" w:type="dxa"/>
            <w:tcBorders>
              <w:top w:val="nil"/>
              <w:left w:val="nil"/>
              <w:bottom w:val="nil"/>
              <w:right w:val="single" w:sz="4" w:space="0" w:color="auto"/>
            </w:tcBorders>
            <w:shd w:val="clear" w:color="auto" w:fill="auto"/>
            <w:noWrap/>
            <w:hideMark/>
          </w:tcPr>
          <w:p w14:paraId="4A4CE35C"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503.672.825</w:t>
            </w:r>
          </w:p>
        </w:tc>
      </w:tr>
      <w:tr w:rsidR="00DE155C" w:rsidRPr="00DE155C" w14:paraId="2AE4AB78"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60CB586A"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INT.MORA VALORIZ.BENEF.GRAL</w:t>
            </w:r>
          </w:p>
        </w:tc>
        <w:tc>
          <w:tcPr>
            <w:tcW w:w="1880" w:type="dxa"/>
            <w:tcBorders>
              <w:top w:val="nil"/>
              <w:left w:val="nil"/>
              <w:bottom w:val="nil"/>
              <w:right w:val="single" w:sz="4" w:space="0" w:color="auto"/>
            </w:tcBorders>
            <w:shd w:val="clear" w:color="auto" w:fill="auto"/>
            <w:noWrap/>
            <w:hideMark/>
          </w:tcPr>
          <w:p w14:paraId="740BB638"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1.040.552.841</w:t>
            </w:r>
          </w:p>
        </w:tc>
        <w:tc>
          <w:tcPr>
            <w:tcW w:w="1940" w:type="dxa"/>
            <w:tcBorders>
              <w:top w:val="nil"/>
              <w:left w:val="nil"/>
              <w:bottom w:val="nil"/>
              <w:right w:val="single" w:sz="4" w:space="0" w:color="auto"/>
            </w:tcBorders>
            <w:shd w:val="clear" w:color="auto" w:fill="auto"/>
            <w:noWrap/>
            <w:hideMark/>
          </w:tcPr>
          <w:p w14:paraId="005A7FC7"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1.167.926.057</w:t>
            </w:r>
          </w:p>
        </w:tc>
      </w:tr>
      <w:tr w:rsidR="00DE155C" w:rsidRPr="00DE155C" w14:paraId="3B770ED2"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2192DA96"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INT.MORA VALORIZ.CIUDAD SALITRE</w:t>
            </w:r>
          </w:p>
        </w:tc>
        <w:tc>
          <w:tcPr>
            <w:tcW w:w="1880" w:type="dxa"/>
            <w:tcBorders>
              <w:top w:val="nil"/>
              <w:left w:val="nil"/>
              <w:bottom w:val="nil"/>
              <w:right w:val="single" w:sz="4" w:space="0" w:color="auto"/>
            </w:tcBorders>
            <w:shd w:val="clear" w:color="auto" w:fill="auto"/>
            <w:noWrap/>
            <w:hideMark/>
          </w:tcPr>
          <w:p w14:paraId="19D87301"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22.516.179</w:t>
            </w:r>
          </w:p>
        </w:tc>
        <w:tc>
          <w:tcPr>
            <w:tcW w:w="1940" w:type="dxa"/>
            <w:tcBorders>
              <w:top w:val="nil"/>
              <w:left w:val="nil"/>
              <w:bottom w:val="nil"/>
              <w:right w:val="single" w:sz="4" w:space="0" w:color="auto"/>
            </w:tcBorders>
            <w:shd w:val="clear" w:color="auto" w:fill="auto"/>
            <w:noWrap/>
            <w:hideMark/>
          </w:tcPr>
          <w:p w14:paraId="1FC09DEB"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21.248.302</w:t>
            </w:r>
          </w:p>
        </w:tc>
      </w:tr>
      <w:tr w:rsidR="00DE155C" w:rsidRPr="00DE155C" w14:paraId="1A5C8EB3"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61806EF2"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INT.MORA VALORIZ.AC.25/95 BENEF.LOCAL</w:t>
            </w:r>
          </w:p>
        </w:tc>
        <w:tc>
          <w:tcPr>
            <w:tcW w:w="1880" w:type="dxa"/>
            <w:tcBorders>
              <w:top w:val="nil"/>
              <w:left w:val="nil"/>
              <w:bottom w:val="nil"/>
              <w:right w:val="single" w:sz="4" w:space="0" w:color="auto"/>
            </w:tcBorders>
            <w:shd w:val="clear" w:color="auto" w:fill="auto"/>
            <w:noWrap/>
            <w:hideMark/>
          </w:tcPr>
          <w:p w14:paraId="172D1FE5"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2.947.762.943</w:t>
            </w:r>
          </w:p>
        </w:tc>
        <w:tc>
          <w:tcPr>
            <w:tcW w:w="1940" w:type="dxa"/>
            <w:tcBorders>
              <w:top w:val="nil"/>
              <w:left w:val="nil"/>
              <w:bottom w:val="nil"/>
              <w:right w:val="single" w:sz="4" w:space="0" w:color="auto"/>
            </w:tcBorders>
            <w:shd w:val="clear" w:color="auto" w:fill="auto"/>
            <w:noWrap/>
            <w:hideMark/>
          </w:tcPr>
          <w:p w14:paraId="392D4FD6"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3.286.125.622</w:t>
            </w:r>
          </w:p>
        </w:tc>
      </w:tr>
      <w:tr w:rsidR="00DE155C" w:rsidRPr="00DE155C" w14:paraId="01B03EFD"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6BDB2737"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INT.MORA VALORIZ. AC.48/01</w:t>
            </w:r>
          </w:p>
        </w:tc>
        <w:tc>
          <w:tcPr>
            <w:tcW w:w="1880" w:type="dxa"/>
            <w:tcBorders>
              <w:top w:val="nil"/>
              <w:left w:val="nil"/>
              <w:bottom w:val="nil"/>
              <w:right w:val="single" w:sz="4" w:space="0" w:color="auto"/>
            </w:tcBorders>
            <w:shd w:val="clear" w:color="auto" w:fill="auto"/>
            <w:noWrap/>
            <w:hideMark/>
          </w:tcPr>
          <w:p w14:paraId="517C600A"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1.389.373.333</w:t>
            </w:r>
          </w:p>
        </w:tc>
        <w:tc>
          <w:tcPr>
            <w:tcW w:w="1940" w:type="dxa"/>
            <w:tcBorders>
              <w:top w:val="nil"/>
              <w:left w:val="nil"/>
              <w:bottom w:val="nil"/>
              <w:right w:val="single" w:sz="4" w:space="0" w:color="auto"/>
            </w:tcBorders>
            <w:shd w:val="clear" w:color="auto" w:fill="auto"/>
            <w:noWrap/>
            <w:hideMark/>
          </w:tcPr>
          <w:p w14:paraId="2B7D519A"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1.499.892.031</w:t>
            </w:r>
          </w:p>
        </w:tc>
      </w:tr>
      <w:tr w:rsidR="00DE155C" w:rsidRPr="00DE155C" w14:paraId="73CFA631"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616D32AB"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INT.MORA VALORIZ. OBRA POR TU LUGAR</w:t>
            </w:r>
          </w:p>
        </w:tc>
        <w:tc>
          <w:tcPr>
            <w:tcW w:w="1880" w:type="dxa"/>
            <w:tcBorders>
              <w:top w:val="nil"/>
              <w:left w:val="nil"/>
              <w:bottom w:val="nil"/>
              <w:right w:val="single" w:sz="4" w:space="0" w:color="auto"/>
            </w:tcBorders>
            <w:shd w:val="clear" w:color="auto" w:fill="auto"/>
            <w:noWrap/>
            <w:hideMark/>
          </w:tcPr>
          <w:p w14:paraId="353DC442"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54.562.891</w:t>
            </w:r>
          </w:p>
        </w:tc>
        <w:tc>
          <w:tcPr>
            <w:tcW w:w="1940" w:type="dxa"/>
            <w:tcBorders>
              <w:top w:val="nil"/>
              <w:left w:val="nil"/>
              <w:bottom w:val="nil"/>
              <w:right w:val="single" w:sz="4" w:space="0" w:color="auto"/>
            </w:tcBorders>
            <w:shd w:val="clear" w:color="auto" w:fill="auto"/>
            <w:noWrap/>
            <w:hideMark/>
          </w:tcPr>
          <w:p w14:paraId="1D9EE54E"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53.375.330</w:t>
            </w:r>
          </w:p>
        </w:tc>
      </w:tr>
      <w:tr w:rsidR="00DE155C" w:rsidRPr="00DE155C" w14:paraId="11FC8C47"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0027A33C"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 MORA VALORIZ. AC.398/09</w:t>
            </w:r>
          </w:p>
        </w:tc>
        <w:tc>
          <w:tcPr>
            <w:tcW w:w="1880" w:type="dxa"/>
            <w:tcBorders>
              <w:top w:val="nil"/>
              <w:left w:val="nil"/>
              <w:bottom w:val="nil"/>
              <w:right w:val="single" w:sz="4" w:space="0" w:color="auto"/>
            </w:tcBorders>
            <w:shd w:val="clear" w:color="auto" w:fill="auto"/>
            <w:noWrap/>
            <w:hideMark/>
          </w:tcPr>
          <w:p w14:paraId="0BADEAF9"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3.285.083.963</w:t>
            </w:r>
          </w:p>
        </w:tc>
        <w:tc>
          <w:tcPr>
            <w:tcW w:w="1940" w:type="dxa"/>
            <w:tcBorders>
              <w:top w:val="nil"/>
              <w:left w:val="nil"/>
              <w:bottom w:val="nil"/>
              <w:right w:val="single" w:sz="4" w:space="0" w:color="auto"/>
            </w:tcBorders>
            <w:shd w:val="clear" w:color="auto" w:fill="auto"/>
            <w:noWrap/>
            <w:hideMark/>
          </w:tcPr>
          <w:p w14:paraId="2A1C1273"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3.303.491.294</w:t>
            </w:r>
          </w:p>
        </w:tc>
      </w:tr>
      <w:tr w:rsidR="00DE155C" w:rsidRPr="00DE155C" w14:paraId="480792B5"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209E4777"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INTERESES DE MORA IDU AC.523/13</w:t>
            </w:r>
          </w:p>
        </w:tc>
        <w:tc>
          <w:tcPr>
            <w:tcW w:w="1880" w:type="dxa"/>
            <w:tcBorders>
              <w:top w:val="nil"/>
              <w:left w:val="nil"/>
              <w:bottom w:val="nil"/>
              <w:right w:val="single" w:sz="4" w:space="0" w:color="auto"/>
            </w:tcBorders>
            <w:shd w:val="clear" w:color="auto" w:fill="auto"/>
            <w:noWrap/>
            <w:hideMark/>
          </w:tcPr>
          <w:p w14:paraId="73285CE2"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12.449.220.046</w:t>
            </w:r>
          </w:p>
        </w:tc>
        <w:tc>
          <w:tcPr>
            <w:tcW w:w="1940" w:type="dxa"/>
            <w:tcBorders>
              <w:top w:val="nil"/>
              <w:left w:val="nil"/>
              <w:bottom w:val="nil"/>
              <w:right w:val="single" w:sz="4" w:space="0" w:color="auto"/>
            </w:tcBorders>
            <w:shd w:val="clear" w:color="auto" w:fill="auto"/>
            <w:noWrap/>
            <w:hideMark/>
          </w:tcPr>
          <w:p w14:paraId="6E803895"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12.483.489.440</w:t>
            </w:r>
          </w:p>
        </w:tc>
      </w:tr>
      <w:tr w:rsidR="00DE155C" w:rsidRPr="00DE155C" w14:paraId="5A7ACB2C" w14:textId="77777777" w:rsidTr="00DE155C">
        <w:trPr>
          <w:trHeight w:val="255"/>
        </w:trPr>
        <w:tc>
          <w:tcPr>
            <w:tcW w:w="5020" w:type="dxa"/>
            <w:tcBorders>
              <w:top w:val="nil"/>
              <w:left w:val="single" w:sz="4" w:space="0" w:color="auto"/>
              <w:bottom w:val="nil"/>
              <w:right w:val="single" w:sz="4" w:space="0" w:color="auto"/>
            </w:tcBorders>
            <w:shd w:val="clear" w:color="auto" w:fill="auto"/>
            <w:noWrap/>
            <w:hideMark/>
          </w:tcPr>
          <w:p w14:paraId="6593F6DA" w14:textId="77777777" w:rsidR="00DE155C" w:rsidRPr="00DE155C" w:rsidRDefault="00DE155C" w:rsidP="00AB4D08">
            <w:pPr>
              <w:spacing w:after="0" w:line="240" w:lineRule="auto"/>
              <w:contextualSpacing/>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INTERESES MORA PARQUES AC.523/13</w:t>
            </w:r>
          </w:p>
        </w:tc>
        <w:tc>
          <w:tcPr>
            <w:tcW w:w="1880" w:type="dxa"/>
            <w:tcBorders>
              <w:top w:val="nil"/>
              <w:left w:val="nil"/>
              <w:bottom w:val="nil"/>
              <w:right w:val="single" w:sz="4" w:space="0" w:color="auto"/>
            </w:tcBorders>
            <w:shd w:val="clear" w:color="auto" w:fill="auto"/>
            <w:noWrap/>
            <w:hideMark/>
          </w:tcPr>
          <w:p w14:paraId="787205DF"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28.899.745</w:t>
            </w:r>
          </w:p>
        </w:tc>
        <w:tc>
          <w:tcPr>
            <w:tcW w:w="1940" w:type="dxa"/>
            <w:tcBorders>
              <w:top w:val="nil"/>
              <w:left w:val="nil"/>
              <w:bottom w:val="nil"/>
              <w:right w:val="single" w:sz="4" w:space="0" w:color="auto"/>
            </w:tcBorders>
            <w:shd w:val="clear" w:color="auto" w:fill="auto"/>
            <w:noWrap/>
            <w:hideMark/>
          </w:tcPr>
          <w:p w14:paraId="495845CE" w14:textId="77777777" w:rsidR="00DE155C" w:rsidRPr="00DE155C" w:rsidRDefault="00DE155C" w:rsidP="00AB4D08">
            <w:pPr>
              <w:spacing w:after="0" w:line="240" w:lineRule="auto"/>
              <w:contextualSpacing/>
              <w:jc w:val="right"/>
              <w:rPr>
                <w:rFonts w:ascii="Times New Roman" w:eastAsia="Times New Roman" w:hAnsi="Times New Roman"/>
                <w:color w:val="000000"/>
                <w:sz w:val="20"/>
                <w:szCs w:val="20"/>
                <w:lang w:eastAsia="es-CO"/>
              </w:rPr>
            </w:pPr>
            <w:r w:rsidRPr="00DE155C">
              <w:rPr>
                <w:rFonts w:ascii="Times New Roman" w:eastAsia="Times New Roman" w:hAnsi="Times New Roman"/>
                <w:color w:val="000000"/>
                <w:sz w:val="20"/>
                <w:szCs w:val="20"/>
                <w:lang w:eastAsia="es-CO"/>
              </w:rPr>
              <w:t>33.464.720</w:t>
            </w:r>
          </w:p>
        </w:tc>
      </w:tr>
      <w:tr w:rsidR="00DE155C" w:rsidRPr="00DE155C" w14:paraId="2E686351" w14:textId="77777777" w:rsidTr="00DE155C">
        <w:trPr>
          <w:trHeight w:val="255"/>
        </w:trPr>
        <w:tc>
          <w:tcPr>
            <w:tcW w:w="5020" w:type="dxa"/>
            <w:tcBorders>
              <w:top w:val="single" w:sz="4" w:space="0" w:color="auto"/>
              <w:left w:val="single" w:sz="4" w:space="0" w:color="auto"/>
              <w:bottom w:val="single" w:sz="4" w:space="0" w:color="auto"/>
              <w:right w:val="single" w:sz="4" w:space="0" w:color="auto"/>
            </w:tcBorders>
            <w:shd w:val="clear" w:color="000000" w:fill="D9D9D9"/>
            <w:noWrap/>
            <w:hideMark/>
          </w:tcPr>
          <w:p w14:paraId="33D140EF" w14:textId="77777777" w:rsidR="00DE155C" w:rsidRPr="00DE155C" w:rsidRDefault="00DE155C" w:rsidP="00AB4D08">
            <w:pPr>
              <w:spacing w:after="0" w:line="240" w:lineRule="auto"/>
              <w:contextualSpacing/>
              <w:jc w:val="center"/>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 xml:space="preserve">TOTAL </w:t>
            </w:r>
          </w:p>
        </w:tc>
        <w:tc>
          <w:tcPr>
            <w:tcW w:w="1880" w:type="dxa"/>
            <w:tcBorders>
              <w:top w:val="single" w:sz="4" w:space="0" w:color="auto"/>
              <w:left w:val="nil"/>
              <w:bottom w:val="single" w:sz="4" w:space="0" w:color="auto"/>
              <w:right w:val="single" w:sz="4" w:space="0" w:color="auto"/>
            </w:tcBorders>
            <w:shd w:val="clear" w:color="000000" w:fill="D9D9D9"/>
            <w:noWrap/>
            <w:hideMark/>
          </w:tcPr>
          <w:p w14:paraId="7DB4E484" w14:textId="77777777" w:rsidR="00DE155C" w:rsidRPr="00DE155C" w:rsidRDefault="00DE155C" w:rsidP="00AB4D08">
            <w:pPr>
              <w:spacing w:after="0" w:line="240" w:lineRule="auto"/>
              <w:contextualSpacing/>
              <w:jc w:val="right"/>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29.075.283.316</w:t>
            </w:r>
          </w:p>
        </w:tc>
        <w:tc>
          <w:tcPr>
            <w:tcW w:w="1940" w:type="dxa"/>
            <w:tcBorders>
              <w:top w:val="single" w:sz="4" w:space="0" w:color="auto"/>
              <w:left w:val="nil"/>
              <w:bottom w:val="single" w:sz="4" w:space="0" w:color="auto"/>
              <w:right w:val="single" w:sz="4" w:space="0" w:color="auto"/>
            </w:tcBorders>
            <w:shd w:val="clear" w:color="000000" w:fill="D9D9D9"/>
            <w:noWrap/>
            <w:hideMark/>
          </w:tcPr>
          <w:p w14:paraId="1FAF9809" w14:textId="77777777" w:rsidR="00DE155C" w:rsidRPr="00DE155C" w:rsidRDefault="00DE155C" w:rsidP="00AB4D08">
            <w:pPr>
              <w:spacing w:after="0" w:line="240" w:lineRule="auto"/>
              <w:contextualSpacing/>
              <w:jc w:val="right"/>
              <w:rPr>
                <w:rFonts w:ascii="Times New Roman" w:eastAsia="Times New Roman" w:hAnsi="Times New Roman"/>
                <w:b/>
                <w:bCs/>
                <w:color w:val="000000"/>
                <w:sz w:val="20"/>
                <w:szCs w:val="20"/>
                <w:lang w:eastAsia="es-CO"/>
              </w:rPr>
            </w:pPr>
            <w:r w:rsidRPr="00DE155C">
              <w:rPr>
                <w:rFonts w:ascii="Times New Roman" w:eastAsia="Times New Roman" w:hAnsi="Times New Roman"/>
                <w:b/>
                <w:bCs/>
                <w:color w:val="000000"/>
                <w:sz w:val="20"/>
                <w:szCs w:val="20"/>
                <w:lang w:eastAsia="es-CO"/>
              </w:rPr>
              <w:t>30.080.406.767</w:t>
            </w:r>
          </w:p>
        </w:tc>
      </w:tr>
    </w:tbl>
    <w:p w14:paraId="04CFCBBE" w14:textId="77777777" w:rsidR="00955050" w:rsidRDefault="00955050" w:rsidP="00AB4D08">
      <w:pPr>
        <w:spacing w:line="240" w:lineRule="auto"/>
        <w:ind w:left="567"/>
        <w:contextualSpacing/>
        <w:jc w:val="both"/>
        <w:rPr>
          <w:rFonts w:ascii="Times New Roman" w:eastAsia="Arial" w:hAnsi="Times New Roman"/>
          <w:sz w:val="24"/>
          <w:szCs w:val="24"/>
        </w:rPr>
      </w:pPr>
    </w:p>
    <w:p w14:paraId="30B836FC" w14:textId="5C4C22B8" w:rsidR="00663FE0" w:rsidRDefault="00807E7A" w:rsidP="00AB4D08">
      <w:pPr>
        <w:pStyle w:val="Ttulo2"/>
        <w:numPr>
          <w:ilvl w:val="1"/>
          <w:numId w:val="34"/>
        </w:numPr>
        <w:spacing w:line="240" w:lineRule="auto"/>
        <w:ind w:left="567" w:hanging="567"/>
        <w:contextualSpacing/>
        <w:rPr>
          <w:rFonts w:cs="Times New Roman"/>
          <w:szCs w:val="24"/>
        </w:rPr>
      </w:pPr>
      <w:bookmarkStart w:id="78" w:name="_Toc32317289"/>
      <w:r w:rsidRPr="00807E7A">
        <w:rPr>
          <w:rFonts w:cs="Times New Roman"/>
          <w:szCs w:val="24"/>
        </w:rPr>
        <w:t>Otros derechos contingentes</w:t>
      </w:r>
      <w:bookmarkEnd w:id="78"/>
    </w:p>
    <w:p w14:paraId="26D7EDB9" w14:textId="77777777" w:rsidR="00221E07" w:rsidRPr="00221E07" w:rsidRDefault="00221E07" w:rsidP="00AB4D08">
      <w:pPr>
        <w:spacing w:line="240" w:lineRule="auto"/>
        <w:contextualSpacing/>
      </w:pPr>
    </w:p>
    <w:p w14:paraId="1308DB50" w14:textId="13275A70" w:rsidR="00807E7A" w:rsidRDefault="00807E7A" w:rsidP="00AB4D08">
      <w:pPr>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Detalle con corte </w:t>
      </w:r>
      <w:r w:rsidR="00987B87">
        <w:rPr>
          <w:rFonts w:ascii="Times New Roman" w:hAnsi="Times New Roman"/>
          <w:sz w:val="24"/>
          <w:szCs w:val="24"/>
        </w:rPr>
        <w:t>a 31 de diciembre de 2019</w:t>
      </w:r>
    </w:p>
    <w:p w14:paraId="1994A18A" w14:textId="77777777" w:rsidR="008B1E7C" w:rsidRDefault="008B1E7C" w:rsidP="00AB4D08">
      <w:pPr>
        <w:spacing w:after="0" w:line="240" w:lineRule="auto"/>
        <w:ind w:left="567"/>
        <w:contextualSpacing/>
        <w:jc w:val="both"/>
        <w:rPr>
          <w:rFonts w:ascii="Times New Roman" w:hAnsi="Times New Roman"/>
          <w:sz w:val="24"/>
          <w:szCs w:val="24"/>
        </w:rPr>
      </w:pPr>
    </w:p>
    <w:tbl>
      <w:tblPr>
        <w:tblW w:w="9722" w:type="dxa"/>
        <w:tblCellMar>
          <w:left w:w="70" w:type="dxa"/>
          <w:right w:w="70" w:type="dxa"/>
        </w:tblCellMar>
        <w:tblLook w:val="04A0" w:firstRow="1" w:lastRow="0" w:firstColumn="1" w:lastColumn="0" w:noHBand="0" w:noVBand="1"/>
      </w:tblPr>
      <w:tblGrid>
        <w:gridCol w:w="6542"/>
        <w:gridCol w:w="1680"/>
        <w:gridCol w:w="1500"/>
      </w:tblGrid>
      <w:tr w:rsidR="008B1E7C" w:rsidRPr="008B1E7C" w14:paraId="03AFF34A" w14:textId="77777777" w:rsidTr="008B1E7C">
        <w:trPr>
          <w:trHeight w:val="315"/>
        </w:trPr>
        <w:tc>
          <w:tcPr>
            <w:tcW w:w="6542" w:type="dxa"/>
            <w:tcBorders>
              <w:top w:val="single" w:sz="4" w:space="0" w:color="auto"/>
              <w:left w:val="single" w:sz="4" w:space="0" w:color="auto"/>
              <w:bottom w:val="single" w:sz="4" w:space="0" w:color="auto"/>
              <w:right w:val="single" w:sz="4" w:space="0" w:color="auto"/>
            </w:tcBorders>
            <w:shd w:val="clear" w:color="000000" w:fill="D9D9D9"/>
            <w:noWrap/>
            <w:hideMark/>
          </w:tcPr>
          <w:p w14:paraId="38E15765" w14:textId="77777777" w:rsidR="008B1E7C" w:rsidRPr="008B1E7C" w:rsidRDefault="008B1E7C" w:rsidP="00AB4D08">
            <w:pPr>
              <w:spacing w:after="0" w:line="240" w:lineRule="auto"/>
              <w:contextualSpacing/>
              <w:jc w:val="center"/>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DETALLE</w:t>
            </w:r>
          </w:p>
        </w:tc>
        <w:tc>
          <w:tcPr>
            <w:tcW w:w="1680" w:type="dxa"/>
            <w:tcBorders>
              <w:top w:val="single" w:sz="4" w:space="0" w:color="auto"/>
              <w:left w:val="nil"/>
              <w:bottom w:val="single" w:sz="4" w:space="0" w:color="auto"/>
              <w:right w:val="single" w:sz="4" w:space="0" w:color="auto"/>
            </w:tcBorders>
            <w:shd w:val="clear" w:color="000000" w:fill="D9D9D9"/>
            <w:noWrap/>
            <w:hideMark/>
          </w:tcPr>
          <w:p w14:paraId="37E29F53" w14:textId="77777777" w:rsidR="008B1E7C" w:rsidRPr="008B1E7C" w:rsidRDefault="008B1E7C" w:rsidP="00AB4D08">
            <w:pPr>
              <w:spacing w:after="0" w:line="240" w:lineRule="auto"/>
              <w:contextualSpacing/>
              <w:jc w:val="center"/>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2019</w:t>
            </w:r>
          </w:p>
        </w:tc>
        <w:tc>
          <w:tcPr>
            <w:tcW w:w="1500" w:type="dxa"/>
            <w:tcBorders>
              <w:top w:val="single" w:sz="4" w:space="0" w:color="auto"/>
              <w:left w:val="nil"/>
              <w:bottom w:val="single" w:sz="4" w:space="0" w:color="auto"/>
              <w:right w:val="single" w:sz="4" w:space="0" w:color="auto"/>
            </w:tcBorders>
            <w:shd w:val="clear" w:color="000000" w:fill="D9D9D9"/>
            <w:noWrap/>
            <w:hideMark/>
          </w:tcPr>
          <w:p w14:paraId="0C0700A2" w14:textId="77777777" w:rsidR="008B1E7C" w:rsidRPr="008B1E7C" w:rsidRDefault="008B1E7C" w:rsidP="00AB4D08">
            <w:pPr>
              <w:spacing w:after="0" w:line="240" w:lineRule="auto"/>
              <w:contextualSpacing/>
              <w:jc w:val="center"/>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2018</w:t>
            </w:r>
          </w:p>
        </w:tc>
      </w:tr>
      <w:tr w:rsidR="008B1E7C" w:rsidRPr="008B1E7C" w14:paraId="56286497" w14:textId="77777777" w:rsidTr="008B1E7C">
        <w:trPr>
          <w:trHeight w:val="315"/>
        </w:trPr>
        <w:tc>
          <w:tcPr>
            <w:tcW w:w="6542" w:type="dxa"/>
            <w:tcBorders>
              <w:top w:val="nil"/>
              <w:left w:val="single" w:sz="4" w:space="0" w:color="auto"/>
              <w:bottom w:val="nil"/>
              <w:right w:val="single" w:sz="4" w:space="0" w:color="auto"/>
            </w:tcBorders>
            <w:shd w:val="clear" w:color="auto" w:fill="auto"/>
            <w:noWrap/>
            <w:hideMark/>
          </w:tcPr>
          <w:p w14:paraId="10150659"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MULTAS</w:t>
            </w:r>
          </w:p>
        </w:tc>
        <w:tc>
          <w:tcPr>
            <w:tcW w:w="1680" w:type="dxa"/>
            <w:tcBorders>
              <w:top w:val="nil"/>
              <w:left w:val="nil"/>
              <w:bottom w:val="nil"/>
              <w:right w:val="single" w:sz="4" w:space="0" w:color="auto"/>
            </w:tcBorders>
            <w:shd w:val="clear" w:color="auto" w:fill="auto"/>
            <w:noWrap/>
            <w:hideMark/>
          </w:tcPr>
          <w:p w14:paraId="11A13B1C"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84.457.104</w:t>
            </w:r>
          </w:p>
        </w:tc>
        <w:tc>
          <w:tcPr>
            <w:tcW w:w="1500" w:type="dxa"/>
            <w:tcBorders>
              <w:top w:val="nil"/>
              <w:left w:val="nil"/>
              <w:bottom w:val="nil"/>
              <w:right w:val="single" w:sz="4" w:space="0" w:color="auto"/>
            </w:tcBorders>
            <w:shd w:val="clear" w:color="auto" w:fill="auto"/>
            <w:noWrap/>
            <w:hideMark/>
          </w:tcPr>
          <w:p w14:paraId="71654C2E"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2.249.489.601</w:t>
            </w:r>
          </w:p>
        </w:tc>
      </w:tr>
      <w:tr w:rsidR="008B1E7C" w:rsidRPr="008B1E7C" w14:paraId="7F520275" w14:textId="77777777" w:rsidTr="008B1E7C">
        <w:trPr>
          <w:trHeight w:val="330"/>
        </w:trPr>
        <w:tc>
          <w:tcPr>
            <w:tcW w:w="6542" w:type="dxa"/>
            <w:tcBorders>
              <w:top w:val="nil"/>
              <w:left w:val="single" w:sz="4" w:space="0" w:color="auto"/>
              <w:bottom w:val="nil"/>
              <w:right w:val="single" w:sz="4" w:space="0" w:color="auto"/>
            </w:tcBorders>
            <w:shd w:val="clear" w:color="auto" w:fill="auto"/>
            <w:noWrap/>
            <w:hideMark/>
          </w:tcPr>
          <w:p w14:paraId="66A7D3A3"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RECLAMACIONES E IMDEMNIZACIONES A COMPAÑIAS DE SEGUROS</w:t>
            </w:r>
          </w:p>
        </w:tc>
        <w:tc>
          <w:tcPr>
            <w:tcW w:w="1680" w:type="dxa"/>
            <w:tcBorders>
              <w:top w:val="nil"/>
              <w:left w:val="nil"/>
              <w:bottom w:val="nil"/>
              <w:right w:val="single" w:sz="4" w:space="0" w:color="auto"/>
            </w:tcBorders>
            <w:shd w:val="clear" w:color="auto" w:fill="auto"/>
            <w:noWrap/>
            <w:hideMark/>
          </w:tcPr>
          <w:p w14:paraId="4F6F0BCD"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20.762.838.633</w:t>
            </w:r>
          </w:p>
        </w:tc>
        <w:tc>
          <w:tcPr>
            <w:tcW w:w="1500" w:type="dxa"/>
            <w:tcBorders>
              <w:top w:val="nil"/>
              <w:left w:val="nil"/>
              <w:bottom w:val="nil"/>
              <w:right w:val="single" w:sz="4" w:space="0" w:color="auto"/>
            </w:tcBorders>
            <w:shd w:val="clear" w:color="auto" w:fill="auto"/>
            <w:noWrap/>
            <w:hideMark/>
          </w:tcPr>
          <w:p w14:paraId="72248D6A"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18.708.843.197</w:t>
            </w:r>
          </w:p>
        </w:tc>
      </w:tr>
      <w:tr w:rsidR="008B1E7C" w:rsidRPr="008B1E7C" w14:paraId="3866AF61" w14:textId="77777777" w:rsidTr="008B1E7C">
        <w:trPr>
          <w:trHeight w:val="330"/>
        </w:trPr>
        <w:tc>
          <w:tcPr>
            <w:tcW w:w="6542" w:type="dxa"/>
            <w:tcBorders>
              <w:top w:val="nil"/>
              <w:left w:val="single" w:sz="4" w:space="0" w:color="auto"/>
              <w:bottom w:val="nil"/>
              <w:right w:val="single" w:sz="4" w:space="0" w:color="auto"/>
            </w:tcBorders>
            <w:shd w:val="clear" w:color="auto" w:fill="auto"/>
            <w:noWrap/>
            <w:hideMark/>
          </w:tcPr>
          <w:p w14:paraId="08353287"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 VALORIZAC. IDU- ACUERDO 180/05.</w:t>
            </w:r>
          </w:p>
        </w:tc>
        <w:tc>
          <w:tcPr>
            <w:tcW w:w="1680" w:type="dxa"/>
            <w:tcBorders>
              <w:top w:val="nil"/>
              <w:left w:val="nil"/>
              <w:bottom w:val="nil"/>
              <w:right w:val="single" w:sz="4" w:space="0" w:color="auto"/>
            </w:tcBorders>
            <w:shd w:val="clear" w:color="auto" w:fill="auto"/>
            <w:noWrap/>
            <w:hideMark/>
          </w:tcPr>
          <w:p w14:paraId="7BE0076F"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9.147.982.909</w:t>
            </w:r>
          </w:p>
        </w:tc>
        <w:tc>
          <w:tcPr>
            <w:tcW w:w="1500" w:type="dxa"/>
            <w:tcBorders>
              <w:top w:val="nil"/>
              <w:left w:val="nil"/>
              <w:bottom w:val="nil"/>
              <w:right w:val="single" w:sz="4" w:space="0" w:color="auto"/>
            </w:tcBorders>
            <w:shd w:val="clear" w:color="auto" w:fill="auto"/>
            <w:noWrap/>
            <w:hideMark/>
          </w:tcPr>
          <w:p w14:paraId="5C8A1579"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9.157.701.924</w:t>
            </w:r>
          </w:p>
        </w:tc>
      </w:tr>
      <w:tr w:rsidR="008B1E7C" w:rsidRPr="008B1E7C" w14:paraId="008108C3"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5662EFB5"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 CARTERA. PARQUES - ACUERDO 180/05</w:t>
            </w:r>
          </w:p>
        </w:tc>
        <w:tc>
          <w:tcPr>
            <w:tcW w:w="1680" w:type="dxa"/>
            <w:tcBorders>
              <w:top w:val="nil"/>
              <w:left w:val="nil"/>
              <w:bottom w:val="nil"/>
              <w:right w:val="single" w:sz="4" w:space="0" w:color="auto"/>
            </w:tcBorders>
            <w:shd w:val="clear" w:color="auto" w:fill="auto"/>
            <w:noWrap/>
            <w:hideMark/>
          </w:tcPr>
          <w:p w14:paraId="2C92D9EF"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446.970.112</w:t>
            </w:r>
          </w:p>
        </w:tc>
        <w:tc>
          <w:tcPr>
            <w:tcW w:w="1500" w:type="dxa"/>
            <w:tcBorders>
              <w:top w:val="nil"/>
              <w:left w:val="nil"/>
              <w:bottom w:val="nil"/>
              <w:right w:val="single" w:sz="4" w:space="0" w:color="auto"/>
            </w:tcBorders>
            <w:shd w:val="clear" w:color="auto" w:fill="auto"/>
            <w:noWrap/>
            <w:hideMark/>
          </w:tcPr>
          <w:p w14:paraId="18BF5DE0"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446.734.497</w:t>
            </w:r>
          </w:p>
        </w:tc>
      </w:tr>
      <w:tr w:rsidR="008B1E7C" w:rsidRPr="008B1E7C" w14:paraId="4D87AA89"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7139BEA9"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ASIGNAC.VALORIZ.AC.398/09</w:t>
            </w:r>
          </w:p>
        </w:tc>
        <w:tc>
          <w:tcPr>
            <w:tcW w:w="1680" w:type="dxa"/>
            <w:tcBorders>
              <w:top w:val="nil"/>
              <w:left w:val="nil"/>
              <w:bottom w:val="nil"/>
              <w:right w:val="single" w:sz="4" w:space="0" w:color="auto"/>
            </w:tcBorders>
            <w:shd w:val="clear" w:color="auto" w:fill="auto"/>
            <w:noWrap/>
            <w:hideMark/>
          </w:tcPr>
          <w:p w14:paraId="4F543E79"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2.028.823.965</w:t>
            </w:r>
          </w:p>
        </w:tc>
        <w:tc>
          <w:tcPr>
            <w:tcW w:w="1500" w:type="dxa"/>
            <w:tcBorders>
              <w:top w:val="nil"/>
              <w:left w:val="nil"/>
              <w:bottom w:val="nil"/>
              <w:right w:val="single" w:sz="4" w:space="0" w:color="auto"/>
            </w:tcBorders>
            <w:shd w:val="clear" w:color="auto" w:fill="auto"/>
            <w:noWrap/>
            <w:hideMark/>
          </w:tcPr>
          <w:p w14:paraId="6DED8EAE"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2.055.676.198</w:t>
            </w:r>
          </w:p>
        </w:tc>
      </w:tr>
      <w:tr w:rsidR="008B1E7C" w:rsidRPr="008B1E7C" w14:paraId="3D84832E"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68A63763"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ASIGNACION VALORIZACION IDU- ACUERDO 523/13</w:t>
            </w:r>
          </w:p>
        </w:tc>
        <w:tc>
          <w:tcPr>
            <w:tcW w:w="1680" w:type="dxa"/>
            <w:tcBorders>
              <w:top w:val="nil"/>
              <w:left w:val="nil"/>
              <w:bottom w:val="nil"/>
              <w:right w:val="single" w:sz="4" w:space="0" w:color="auto"/>
            </w:tcBorders>
            <w:shd w:val="clear" w:color="auto" w:fill="auto"/>
            <w:noWrap/>
            <w:hideMark/>
          </w:tcPr>
          <w:p w14:paraId="4BA7C734"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1.440.186.820</w:t>
            </w:r>
          </w:p>
        </w:tc>
        <w:tc>
          <w:tcPr>
            <w:tcW w:w="1500" w:type="dxa"/>
            <w:tcBorders>
              <w:top w:val="nil"/>
              <w:left w:val="nil"/>
              <w:bottom w:val="nil"/>
              <w:right w:val="single" w:sz="4" w:space="0" w:color="auto"/>
            </w:tcBorders>
            <w:shd w:val="clear" w:color="auto" w:fill="auto"/>
            <w:noWrap/>
            <w:hideMark/>
          </w:tcPr>
          <w:p w14:paraId="7E91E17D"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1.325.423.269</w:t>
            </w:r>
          </w:p>
        </w:tc>
      </w:tr>
      <w:tr w:rsidR="008B1E7C" w:rsidRPr="008B1E7C" w14:paraId="66B890E6"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1FA93E79"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ASIGNACION VALORIZACION PARQUES- AC.523/13</w:t>
            </w:r>
          </w:p>
        </w:tc>
        <w:tc>
          <w:tcPr>
            <w:tcW w:w="1680" w:type="dxa"/>
            <w:tcBorders>
              <w:top w:val="nil"/>
              <w:left w:val="nil"/>
              <w:bottom w:val="nil"/>
              <w:right w:val="single" w:sz="4" w:space="0" w:color="auto"/>
            </w:tcBorders>
            <w:shd w:val="clear" w:color="auto" w:fill="auto"/>
            <w:noWrap/>
            <w:hideMark/>
          </w:tcPr>
          <w:p w14:paraId="3ACE7BBA"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621.473</w:t>
            </w:r>
          </w:p>
        </w:tc>
        <w:tc>
          <w:tcPr>
            <w:tcW w:w="1500" w:type="dxa"/>
            <w:tcBorders>
              <w:top w:val="nil"/>
              <w:left w:val="nil"/>
              <w:bottom w:val="nil"/>
              <w:right w:val="single" w:sz="4" w:space="0" w:color="auto"/>
            </w:tcBorders>
            <w:shd w:val="clear" w:color="auto" w:fill="auto"/>
            <w:noWrap/>
            <w:hideMark/>
          </w:tcPr>
          <w:p w14:paraId="1E6D6B42"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648.701</w:t>
            </w:r>
          </w:p>
        </w:tc>
      </w:tr>
      <w:tr w:rsidR="008B1E7C" w:rsidRPr="008B1E7C" w14:paraId="40DEA8A8"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519BC429"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CAPITAL AC.523/13 EN RECLAMACION</w:t>
            </w:r>
          </w:p>
        </w:tc>
        <w:tc>
          <w:tcPr>
            <w:tcW w:w="1680" w:type="dxa"/>
            <w:tcBorders>
              <w:top w:val="nil"/>
              <w:left w:val="nil"/>
              <w:bottom w:val="nil"/>
              <w:right w:val="single" w:sz="4" w:space="0" w:color="auto"/>
            </w:tcBorders>
            <w:shd w:val="clear" w:color="auto" w:fill="auto"/>
            <w:noWrap/>
            <w:hideMark/>
          </w:tcPr>
          <w:p w14:paraId="5FC1355B"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0</w:t>
            </w:r>
          </w:p>
        </w:tc>
        <w:tc>
          <w:tcPr>
            <w:tcW w:w="1500" w:type="dxa"/>
            <w:tcBorders>
              <w:top w:val="nil"/>
              <w:left w:val="nil"/>
              <w:bottom w:val="nil"/>
              <w:right w:val="single" w:sz="4" w:space="0" w:color="auto"/>
            </w:tcBorders>
            <w:shd w:val="clear" w:color="auto" w:fill="auto"/>
            <w:noWrap/>
            <w:hideMark/>
          </w:tcPr>
          <w:p w14:paraId="1228C372"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45.342.889</w:t>
            </w:r>
          </w:p>
        </w:tc>
      </w:tr>
      <w:tr w:rsidR="008B1E7C" w:rsidRPr="008B1E7C" w14:paraId="7E6C0202"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38F9105F"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ASIGNACIÓN VALORIZACIÓN IDU AC.724/18</w:t>
            </w:r>
          </w:p>
        </w:tc>
        <w:tc>
          <w:tcPr>
            <w:tcW w:w="1680" w:type="dxa"/>
            <w:tcBorders>
              <w:top w:val="nil"/>
              <w:left w:val="nil"/>
              <w:bottom w:val="nil"/>
              <w:right w:val="single" w:sz="4" w:space="0" w:color="auto"/>
            </w:tcBorders>
            <w:shd w:val="clear" w:color="auto" w:fill="auto"/>
            <w:noWrap/>
            <w:hideMark/>
          </w:tcPr>
          <w:p w14:paraId="45F5D019"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33.610.729.761</w:t>
            </w:r>
          </w:p>
        </w:tc>
        <w:tc>
          <w:tcPr>
            <w:tcW w:w="1500" w:type="dxa"/>
            <w:tcBorders>
              <w:top w:val="nil"/>
              <w:left w:val="nil"/>
              <w:bottom w:val="nil"/>
              <w:right w:val="single" w:sz="4" w:space="0" w:color="auto"/>
            </w:tcBorders>
            <w:shd w:val="clear" w:color="auto" w:fill="auto"/>
            <w:noWrap/>
            <w:hideMark/>
          </w:tcPr>
          <w:p w14:paraId="023D22C8"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820.179.000.000</w:t>
            </w:r>
          </w:p>
        </w:tc>
      </w:tr>
      <w:tr w:rsidR="008B1E7C" w:rsidRPr="008B1E7C" w14:paraId="241FB599"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1095FF24"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ASIGNACION CENTRO CULTURAL AC.724/18</w:t>
            </w:r>
          </w:p>
        </w:tc>
        <w:tc>
          <w:tcPr>
            <w:tcW w:w="1680" w:type="dxa"/>
            <w:tcBorders>
              <w:top w:val="nil"/>
              <w:left w:val="nil"/>
              <w:bottom w:val="nil"/>
              <w:right w:val="single" w:sz="4" w:space="0" w:color="auto"/>
            </w:tcBorders>
            <w:shd w:val="clear" w:color="auto" w:fill="auto"/>
            <w:noWrap/>
            <w:hideMark/>
          </w:tcPr>
          <w:p w14:paraId="6569CE95"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0</w:t>
            </w:r>
          </w:p>
        </w:tc>
        <w:tc>
          <w:tcPr>
            <w:tcW w:w="1500" w:type="dxa"/>
            <w:tcBorders>
              <w:top w:val="nil"/>
              <w:left w:val="nil"/>
              <w:bottom w:val="nil"/>
              <w:right w:val="single" w:sz="4" w:space="0" w:color="auto"/>
            </w:tcBorders>
            <w:shd w:val="clear" w:color="auto" w:fill="auto"/>
            <w:noWrap/>
            <w:hideMark/>
          </w:tcPr>
          <w:p w14:paraId="27272769"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86.400.000.000</w:t>
            </w:r>
          </w:p>
        </w:tc>
      </w:tr>
      <w:tr w:rsidR="008B1E7C" w:rsidRPr="008B1E7C" w14:paraId="32E94037" w14:textId="77777777" w:rsidTr="008B1E7C">
        <w:trPr>
          <w:trHeight w:val="255"/>
        </w:trPr>
        <w:tc>
          <w:tcPr>
            <w:tcW w:w="6542" w:type="dxa"/>
            <w:tcBorders>
              <w:top w:val="nil"/>
              <w:left w:val="single" w:sz="4" w:space="0" w:color="auto"/>
              <w:bottom w:val="nil"/>
              <w:right w:val="single" w:sz="4" w:space="0" w:color="auto"/>
            </w:tcBorders>
            <w:shd w:val="clear" w:color="auto" w:fill="auto"/>
            <w:noWrap/>
            <w:hideMark/>
          </w:tcPr>
          <w:p w14:paraId="6F8668E0" w14:textId="77777777" w:rsidR="008B1E7C" w:rsidRPr="008B1E7C" w:rsidRDefault="008B1E7C" w:rsidP="00AB4D08">
            <w:pPr>
              <w:spacing w:after="0" w:line="240" w:lineRule="auto"/>
              <w:contextualSpacing/>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CAPITAL AC 724 DE 2018 EN RECLAMACIÓN</w:t>
            </w:r>
          </w:p>
        </w:tc>
        <w:tc>
          <w:tcPr>
            <w:tcW w:w="1680" w:type="dxa"/>
            <w:tcBorders>
              <w:top w:val="nil"/>
              <w:left w:val="nil"/>
              <w:bottom w:val="nil"/>
              <w:right w:val="single" w:sz="4" w:space="0" w:color="auto"/>
            </w:tcBorders>
            <w:shd w:val="clear" w:color="auto" w:fill="auto"/>
            <w:noWrap/>
            <w:hideMark/>
          </w:tcPr>
          <w:p w14:paraId="12723F5B"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59.259.488.162</w:t>
            </w:r>
          </w:p>
        </w:tc>
        <w:tc>
          <w:tcPr>
            <w:tcW w:w="1500" w:type="dxa"/>
            <w:tcBorders>
              <w:top w:val="nil"/>
              <w:left w:val="nil"/>
              <w:bottom w:val="nil"/>
              <w:right w:val="single" w:sz="4" w:space="0" w:color="auto"/>
            </w:tcBorders>
            <w:shd w:val="clear" w:color="auto" w:fill="auto"/>
            <w:noWrap/>
            <w:hideMark/>
          </w:tcPr>
          <w:p w14:paraId="43F541C7" w14:textId="77777777" w:rsidR="008B1E7C" w:rsidRPr="008B1E7C" w:rsidRDefault="008B1E7C" w:rsidP="00AB4D08">
            <w:pPr>
              <w:spacing w:after="0" w:line="240" w:lineRule="auto"/>
              <w:contextualSpacing/>
              <w:jc w:val="right"/>
              <w:rPr>
                <w:rFonts w:ascii="Times New Roman" w:eastAsia="Times New Roman" w:hAnsi="Times New Roman"/>
                <w:color w:val="000000"/>
                <w:sz w:val="20"/>
                <w:szCs w:val="20"/>
                <w:lang w:eastAsia="es-CO"/>
              </w:rPr>
            </w:pPr>
            <w:r w:rsidRPr="008B1E7C">
              <w:rPr>
                <w:rFonts w:ascii="Times New Roman" w:eastAsia="Times New Roman" w:hAnsi="Times New Roman"/>
                <w:color w:val="000000"/>
                <w:sz w:val="20"/>
                <w:szCs w:val="20"/>
                <w:lang w:eastAsia="es-CO"/>
              </w:rPr>
              <w:t>0</w:t>
            </w:r>
          </w:p>
        </w:tc>
      </w:tr>
      <w:tr w:rsidR="008B1E7C" w:rsidRPr="008B1E7C" w14:paraId="5DB1948B" w14:textId="77777777" w:rsidTr="008B1E7C">
        <w:trPr>
          <w:trHeight w:val="255"/>
        </w:trPr>
        <w:tc>
          <w:tcPr>
            <w:tcW w:w="6542" w:type="dxa"/>
            <w:tcBorders>
              <w:top w:val="single" w:sz="4" w:space="0" w:color="auto"/>
              <w:left w:val="single" w:sz="4" w:space="0" w:color="auto"/>
              <w:bottom w:val="single" w:sz="4" w:space="0" w:color="auto"/>
              <w:right w:val="single" w:sz="4" w:space="0" w:color="auto"/>
            </w:tcBorders>
            <w:shd w:val="clear" w:color="000000" w:fill="D9D9D9"/>
            <w:noWrap/>
            <w:hideMark/>
          </w:tcPr>
          <w:p w14:paraId="39515E6A" w14:textId="77777777" w:rsidR="008B1E7C" w:rsidRPr="008B1E7C" w:rsidRDefault="008B1E7C" w:rsidP="00AB4D08">
            <w:pPr>
              <w:spacing w:after="0" w:line="240" w:lineRule="auto"/>
              <w:contextualSpacing/>
              <w:jc w:val="center"/>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TOTAL</w:t>
            </w:r>
          </w:p>
        </w:tc>
        <w:tc>
          <w:tcPr>
            <w:tcW w:w="1680" w:type="dxa"/>
            <w:tcBorders>
              <w:top w:val="single" w:sz="4" w:space="0" w:color="auto"/>
              <w:left w:val="nil"/>
              <w:bottom w:val="single" w:sz="4" w:space="0" w:color="auto"/>
              <w:right w:val="single" w:sz="4" w:space="0" w:color="auto"/>
            </w:tcBorders>
            <w:shd w:val="clear" w:color="000000" w:fill="D9D9D9"/>
            <w:noWrap/>
            <w:hideMark/>
          </w:tcPr>
          <w:p w14:paraId="019FD996" w14:textId="77777777" w:rsidR="008B1E7C" w:rsidRPr="008B1E7C" w:rsidRDefault="008B1E7C" w:rsidP="00AB4D08">
            <w:pPr>
              <w:spacing w:after="0" w:line="240" w:lineRule="auto"/>
              <w:contextualSpacing/>
              <w:jc w:val="right"/>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126.782.098.940</w:t>
            </w:r>
          </w:p>
        </w:tc>
        <w:tc>
          <w:tcPr>
            <w:tcW w:w="1500" w:type="dxa"/>
            <w:tcBorders>
              <w:top w:val="single" w:sz="4" w:space="0" w:color="auto"/>
              <w:left w:val="nil"/>
              <w:bottom w:val="single" w:sz="4" w:space="0" w:color="auto"/>
              <w:right w:val="single" w:sz="4" w:space="0" w:color="auto"/>
            </w:tcBorders>
            <w:shd w:val="clear" w:color="000000" w:fill="D9D9D9"/>
            <w:noWrap/>
            <w:hideMark/>
          </w:tcPr>
          <w:p w14:paraId="6C6AF122" w14:textId="77777777" w:rsidR="008B1E7C" w:rsidRPr="008B1E7C" w:rsidRDefault="008B1E7C" w:rsidP="00AB4D08">
            <w:pPr>
              <w:spacing w:after="0" w:line="240" w:lineRule="auto"/>
              <w:contextualSpacing/>
              <w:jc w:val="right"/>
              <w:rPr>
                <w:rFonts w:ascii="Times New Roman" w:eastAsia="Times New Roman" w:hAnsi="Times New Roman"/>
                <w:b/>
                <w:bCs/>
                <w:color w:val="000000"/>
                <w:sz w:val="20"/>
                <w:szCs w:val="20"/>
                <w:lang w:eastAsia="es-CO"/>
              </w:rPr>
            </w:pPr>
            <w:r w:rsidRPr="008B1E7C">
              <w:rPr>
                <w:rFonts w:ascii="Times New Roman" w:eastAsia="Times New Roman" w:hAnsi="Times New Roman"/>
                <w:b/>
                <w:bCs/>
                <w:color w:val="000000"/>
                <w:sz w:val="20"/>
                <w:szCs w:val="20"/>
                <w:lang w:eastAsia="es-CO"/>
              </w:rPr>
              <w:t>940.568.860.277</w:t>
            </w:r>
          </w:p>
        </w:tc>
      </w:tr>
    </w:tbl>
    <w:p w14:paraId="0C555A68" w14:textId="28272A7F"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lastRenderedPageBreak/>
        <w:t>Asignación valorización Acuerdo 724 De 2018</w:t>
      </w:r>
    </w:p>
    <w:p w14:paraId="0CD6D146"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0D411FCA"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 xml:space="preserve">Aprobado el 06 de diciembre de 2018, por el cual se establece el cobro de valorización por beneficio local, contribución que se asignó el 27 de diciembre de 2018, para la construcción del plan de obras, distribuidas en tres ejes: </w:t>
      </w:r>
    </w:p>
    <w:p w14:paraId="166D2DC7"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7581E7E6"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1. Eje Oriental El Cedro.</w:t>
      </w:r>
    </w:p>
    <w:p w14:paraId="13AA517D"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2. Eje Córdoba</w:t>
      </w:r>
    </w:p>
    <w:p w14:paraId="0804EC13"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3. Eje Zona Industrial</w:t>
      </w:r>
    </w:p>
    <w:p w14:paraId="3FE14934"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40C2217D"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 xml:space="preserve">Para el desarrollo de los siguientes proyectos: </w:t>
      </w:r>
    </w:p>
    <w:p w14:paraId="728B8AD4"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6E59DFB9"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8 Proyectos de aceras y ciclorrutas</w:t>
      </w:r>
    </w:p>
    <w:p w14:paraId="08E8AE07"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4 obras de infraestructura vial</w:t>
      </w:r>
    </w:p>
    <w:p w14:paraId="6168F2B8"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1 puente peatonal</w:t>
      </w:r>
    </w:p>
    <w:p w14:paraId="1234752F"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1 corredor ambiental</w:t>
      </w:r>
    </w:p>
    <w:p w14:paraId="0180349D"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1 centro cultural</w:t>
      </w:r>
    </w:p>
    <w:p w14:paraId="2E6F28C7" w14:textId="77777777" w:rsidR="00987B87" w:rsidRPr="00987B87" w:rsidRDefault="00987B87" w:rsidP="00AB4D08">
      <w:pPr>
        <w:spacing w:line="240" w:lineRule="auto"/>
        <w:ind w:left="567"/>
        <w:contextualSpacing/>
        <w:jc w:val="both"/>
        <w:rPr>
          <w:rFonts w:ascii="Times New Roman" w:eastAsia="Arial" w:hAnsi="Times New Roman"/>
          <w:b/>
          <w:sz w:val="24"/>
          <w:szCs w:val="24"/>
        </w:rPr>
      </w:pPr>
    </w:p>
    <w:p w14:paraId="797C278B"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Reclamaciones e Indemnizaciones</w:t>
      </w:r>
    </w:p>
    <w:p w14:paraId="2B05EF41"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1DB85420" w14:textId="77777777" w:rsidR="00987B87" w:rsidRPr="00987B87" w:rsidRDefault="00987B87" w:rsidP="00AB4D08">
      <w:pPr>
        <w:spacing w:line="240" w:lineRule="auto"/>
        <w:ind w:left="567"/>
        <w:contextualSpacing/>
        <w:jc w:val="both"/>
        <w:rPr>
          <w:rFonts w:ascii="Times New Roman" w:eastAsia="Arial" w:hAnsi="Times New Roman"/>
          <w:sz w:val="24"/>
          <w:szCs w:val="24"/>
        </w:rPr>
      </w:pPr>
      <w:r w:rsidRPr="00987B87">
        <w:rPr>
          <w:rFonts w:ascii="Times New Roman" w:eastAsia="Arial" w:hAnsi="Times New Roman"/>
          <w:sz w:val="24"/>
          <w:szCs w:val="24"/>
        </w:rPr>
        <w:t>El saldo en este rubro corresponde al valor de los actos administrativos con los cuales se imponen multas, sanciones e indemnizaciones a los contratistas de obras de infraestructura, por los siniestros ocurridos en los diferentes contratos, por incumplimientos en su amparo de estabilidad de obra y calidad del servicio, aplicación de cláusulas penales, a los cuales a 31 de diciembre no se les han resuelto los recursos interpuestos.</w:t>
      </w:r>
    </w:p>
    <w:p w14:paraId="43801C5A" w14:textId="77777777" w:rsidR="00987B87" w:rsidRPr="00987B87" w:rsidRDefault="00987B87" w:rsidP="00AB4D08">
      <w:pPr>
        <w:spacing w:line="240" w:lineRule="auto"/>
        <w:ind w:left="567"/>
        <w:contextualSpacing/>
        <w:jc w:val="both"/>
        <w:rPr>
          <w:rFonts w:ascii="Times New Roman" w:eastAsia="Arial" w:hAnsi="Times New Roman"/>
          <w:sz w:val="24"/>
          <w:szCs w:val="24"/>
        </w:rPr>
      </w:pPr>
    </w:p>
    <w:p w14:paraId="24CC8289" w14:textId="36D92303" w:rsidR="00987B87" w:rsidRPr="00987B87" w:rsidRDefault="00E90A32" w:rsidP="00AB4D08">
      <w:pPr>
        <w:spacing w:line="240" w:lineRule="auto"/>
        <w:ind w:left="567"/>
        <w:contextualSpacing/>
        <w:jc w:val="both"/>
        <w:rPr>
          <w:rFonts w:ascii="Times New Roman" w:eastAsia="Arial" w:hAnsi="Times New Roman"/>
          <w:sz w:val="24"/>
          <w:szCs w:val="24"/>
        </w:rPr>
      </w:pPr>
      <w:r w:rsidRPr="00684D59">
        <w:rPr>
          <w:rFonts w:ascii="Times New Roman" w:eastAsia="Arial" w:hAnsi="Times New Roman"/>
          <w:noProof/>
          <w:lang w:eastAsia="es-CO"/>
        </w:rPr>
        <w:drawing>
          <wp:anchor distT="0" distB="0" distL="114300" distR="114300" simplePos="0" relativeHeight="251679744" behindDoc="0" locked="0" layoutInCell="1" allowOverlap="1" wp14:anchorId="1E760C1F" wp14:editId="0C133E35">
            <wp:simplePos x="0" y="0"/>
            <wp:positionH relativeFrom="column">
              <wp:posOffset>184785</wp:posOffset>
            </wp:positionH>
            <wp:positionV relativeFrom="paragraph">
              <wp:posOffset>177800</wp:posOffset>
            </wp:positionV>
            <wp:extent cx="5608320" cy="1916430"/>
            <wp:effectExtent l="0" t="0" r="0" b="762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608320" cy="1916430"/>
                    </a:xfrm>
                    <a:prstGeom prst="rect">
                      <a:avLst/>
                    </a:prstGeom>
                  </pic:spPr>
                </pic:pic>
              </a:graphicData>
            </a:graphic>
          </wp:anchor>
        </w:drawing>
      </w:r>
      <w:r w:rsidR="00987B87" w:rsidRPr="00987B87">
        <w:rPr>
          <w:rFonts w:ascii="Times New Roman" w:eastAsia="Arial" w:hAnsi="Times New Roman"/>
          <w:sz w:val="24"/>
          <w:szCs w:val="24"/>
        </w:rPr>
        <w:t>Al 31 de diciembre de 2019</w:t>
      </w:r>
      <w:r w:rsidR="009C65DC">
        <w:rPr>
          <w:rFonts w:ascii="Times New Roman" w:eastAsia="Arial" w:hAnsi="Times New Roman"/>
          <w:sz w:val="24"/>
          <w:szCs w:val="24"/>
        </w:rPr>
        <w:t xml:space="preserve">, se presenta el siguiente </w:t>
      </w:r>
      <w:r w:rsidR="00987B87" w:rsidRPr="00987B87">
        <w:rPr>
          <w:rFonts w:ascii="Times New Roman" w:eastAsia="Arial" w:hAnsi="Times New Roman"/>
          <w:sz w:val="24"/>
          <w:szCs w:val="24"/>
        </w:rPr>
        <w:t>detalle:</w:t>
      </w:r>
    </w:p>
    <w:p w14:paraId="22A888C1" w14:textId="394212D4" w:rsidR="00987B87" w:rsidRDefault="00987B87" w:rsidP="00AB4D08">
      <w:pPr>
        <w:spacing w:after="0" w:line="240" w:lineRule="auto"/>
        <w:contextualSpacing/>
        <w:jc w:val="both"/>
        <w:rPr>
          <w:rFonts w:ascii="Times New Roman" w:hAnsi="Times New Roman"/>
          <w:sz w:val="24"/>
          <w:szCs w:val="24"/>
        </w:rPr>
      </w:pPr>
    </w:p>
    <w:p w14:paraId="7D0A8C3E" w14:textId="77777777" w:rsidR="00807E7A" w:rsidRDefault="00807E7A" w:rsidP="00AB4D08">
      <w:pPr>
        <w:spacing w:after="0" w:line="240" w:lineRule="auto"/>
        <w:ind w:left="720"/>
        <w:contextualSpacing/>
        <w:jc w:val="both"/>
        <w:rPr>
          <w:rFonts w:ascii="Times New Roman" w:hAnsi="Times New Roman"/>
          <w:sz w:val="24"/>
          <w:szCs w:val="24"/>
        </w:rPr>
      </w:pPr>
    </w:p>
    <w:p w14:paraId="59462616" w14:textId="77777777" w:rsidR="00E90A32" w:rsidRDefault="00E90A32" w:rsidP="00AB4D08">
      <w:pPr>
        <w:spacing w:after="0" w:line="240" w:lineRule="auto"/>
        <w:ind w:left="720"/>
        <w:contextualSpacing/>
        <w:jc w:val="both"/>
        <w:rPr>
          <w:rFonts w:ascii="Times New Roman" w:hAnsi="Times New Roman"/>
          <w:sz w:val="24"/>
          <w:szCs w:val="24"/>
        </w:rPr>
      </w:pPr>
    </w:p>
    <w:p w14:paraId="62DEE768" w14:textId="77777777" w:rsidR="00E90A32" w:rsidRPr="00807E7A" w:rsidRDefault="00E90A32" w:rsidP="00AB4D08">
      <w:pPr>
        <w:spacing w:after="0" w:line="240" w:lineRule="auto"/>
        <w:ind w:left="720"/>
        <w:contextualSpacing/>
        <w:jc w:val="both"/>
        <w:rPr>
          <w:rFonts w:ascii="Times New Roman" w:hAnsi="Times New Roman"/>
          <w:sz w:val="24"/>
          <w:szCs w:val="24"/>
        </w:rPr>
      </w:pPr>
    </w:p>
    <w:p w14:paraId="6B0973B0" w14:textId="22BC19C8" w:rsidR="00221E07" w:rsidRPr="00370824" w:rsidRDefault="00221E07" w:rsidP="00AB4D08">
      <w:pPr>
        <w:pStyle w:val="Prrafodelista"/>
        <w:spacing w:after="0" w:line="240" w:lineRule="auto"/>
        <w:jc w:val="both"/>
        <w:rPr>
          <w:rFonts w:ascii="Times New Roman" w:hAnsi="Times New Roman"/>
          <w:sz w:val="24"/>
          <w:szCs w:val="24"/>
          <w:u w:val="single"/>
        </w:rPr>
      </w:pPr>
    </w:p>
    <w:p w14:paraId="3920E744" w14:textId="78C75958" w:rsidR="00945BB4" w:rsidRPr="00370824" w:rsidRDefault="009D66A3" w:rsidP="00AB4D08">
      <w:pPr>
        <w:pStyle w:val="Ttulo1"/>
        <w:contextualSpacing/>
        <w:rPr>
          <w:rFonts w:cs="Times New Roman"/>
          <w:sz w:val="24"/>
          <w:szCs w:val="24"/>
        </w:rPr>
      </w:pPr>
      <w:bookmarkStart w:id="79" w:name="_Toc32317290"/>
      <w:r w:rsidRPr="00370824">
        <w:rPr>
          <w:rFonts w:cs="Times New Roman"/>
          <w:sz w:val="24"/>
          <w:szCs w:val="24"/>
        </w:rPr>
        <w:lastRenderedPageBreak/>
        <w:t>NOTA 2</w:t>
      </w:r>
      <w:r w:rsidR="00663FE0" w:rsidRPr="00370824">
        <w:rPr>
          <w:rFonts w:cs="Times New Roman"/>
          <w:sz w:val="24"/>
          <w:szCs w:val="24"/>
        </w:rPr>
        <w:t>7</w:t>
      </w:r>
      <w:r w:rsidRPr="00370824">
        <w:rPr>
          <w:rFonts w:cs="Times New Roman"/>
          <w:sz w:val="24"/>
          <w:szCs w:val="24"/>
        </w:rPr>
        <w:t>. PATRIMONIO</w:t>
      </w:r>
      <w:bookmarkEnd w:id="79"/>
    </w:p>
    <w:p w14:paraId="4A4CE2BE" w14:textId="77777777" w:rsidR="00666E3C" w:rsidRPr="00370824" w:rsidRDefault="00666E3C" w:rsidP="00AB4D08">
      <w:pPr>
        <w:spacing w:after="0" w:line="240" w:lineRule="auto"/>
        <w:contextualSpacing/>
        <w:jc w:val="both"/>
        <w:rPr>
          <w:rFonts w:ascii="Times New Roman" w:hAnsi="Times New Roman"/>
          <w:b/>
          <w:sz w:val="24"/>
          <w:szCs w:val="24"/>
        </w:rPr>
      </w:pPr>
    </w:p>
    <w:p w14:paraId="02A373FC" w14:textId="67BF9AC3" w:rsidR="00666E3C" w:rsidRDefault="00666E3C" w:rsidP="00AB4D08">
      <w:pPr>
        <w:pStyle w:val="Ttulo2"/>
        <w:numPr>
          <w:ilvl w:val="0"/>
          <w:numId w:val="0"/>
        </w:numPr>
        <w:spacing w:line="240" w:lineRule="auto"/>
        <w:contextualSpacing/>
        <w:rPr>
          <w:rFonts w:cs="Times New Roman"/>
          <w:szCs w:val="24"/>
        </w:rPr>
      </w:pPr>
      <w:bookmarkStart w:id="80" w:name="_Toc32317291"/>
      <w:r w:rsidRPr="00370824">
        <w:rPr>
          <w:rFonts w:cs="Times New Roman"/>
          <w:szCs w:val="24"/>
        </w:rPr>
        <w:t>Composición</w:t>
      </w:r>
      <w:bookmarkEnd w:id="80"/>
    </w:p>
    <w:p w14:paraId="4CD8D334" w14:textId="77777777" w:rsidR="00370824" w:rsidRDefault="00370824" w:rsidP="00AB4D08">
      <w:pPr>
        <w:spacing w:line="240" w:lineRule="auto"/>
        <w:ind w:left="567"/>
        <w:contextualSpacing/>
        <w:rPr>
          <w:rFonts w:ascii="Times New Roman" w:hAnsi="Times New Roman"/>
          <w:sz w:val="24"/>
          <w:szCs w:val="24"/>
        </w:rPr>
      </w:pPr>
    </w:p>
    <w:p w14:paraId="0A8C4D79" w14:textId="1135826A" w:rsidR="00370824" w:rsidRDefault="00370824" w:rsidP="00AB4D08">
      <w:pPr>
        <w:spacing w:line="240" w:lineRule="auto"/>
        <w:ind w:left="567"/>
        <w:contextualSpacing/>
        <w:rPr>
          <w:rFonts w:ascii="Times New Roman" w:hAnsi="Times New Roman"/>
          <w:sz w:val="24"/>
          <w:szCs w:val="24"/>
        </w:rPr>
      </w:pPr>
      <w:r w:rsidRPr="00370824">
        <w:rPr>
          <w:rFonts w:ascii="Times New Roman" w:hAnsi="Times New Roman"/>
          <w:sz w:val="24"/>
          <w:szCs w:val="24"/>
        </w:rPr>
        <w:t>Con corte a diciembre de 2019, el saldo de la cuenta de patrimonio es:</w:t>
      </w:r>
    </w:p>
    <w:p w14:paraId="4FBC9EB9" w14:textId="77777777" w:rsidR="00DE155C" w:rsidRDefault="00DE155C" w:rsidP="00AB4D08">
      <w:pPr>
        <w:spacing w:line="240" w:lineRule="auto"/>
        <w:ind w:left="567"/>
        <w:contextualSpacing/>
        <w:rPr>
          <w:rFonts w:ascii="Times New Roman" w:hAnsi="Times New Roman"/>
          <w:sz w:val="24"/>
          <w:szCs w:val="24"/>
        </w:rPr>
      </w:pPr>
    </w:p>
    <w:p w14:paraId="0459A968" w14:textId="50450741" w:rsidR="00370824" w:rsidRDefault="00DE155C" w:rsidP="00AB4D08">
      <w:pPr>
        <w:spacing w:line="240" w:lineRule="auto"/>
        <w:contextualSpacing/>
        <w:rPr>
          <w:rFonts w:ascii="Times New Roman" w:hAnsi="Times New Roman"/>
          <w:sz w:val="24"/>
          <w:szCs w:val="24"/>
        </w:rPr>
      </w:pPr>
      <w:r w:rsidRPr="00DE155C">
        <w:rPr>
          <w:noProof/>
          <w:lang w:eastAsia="es-CO"/>
        </w:rPr>
        <w:drawing>
          <wp:inline distT="0" distB="0" distL="0" distR="0" wp14:anchorId="766ADE3B" wp14:editId="71606E46">
            <wp:extent cx="5791835" cy="1458211"/>
            <wp:effectExtent l="0" t="0" r="0" b="889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91835" cy="1458211"/>
                    </a:xfrm>
                    <a:prstGeom prst="rect">
                      <a:avLst/>
                    </a:prstGeom>
                    <a:noFill/>
                    <a:ln>
                      <a:noFill/>
                    </a:ln>
                  </pic:spPr>
                </pic:pic>
              </a:graphicData>
            </a:graphic>
          </wp:inline>
        </w:drawing>
      </w:r>
    </w:p>
    <w:p w14:paraId="5A3C7987" w14:textId="77777777" w:rsidR="00DE155C" w:rsidRDefault="00DE155C" w:rsidP="00AB4D08">
      <w:pPr>
        <w:spacing w:line="240" w:lineRule="auto"/>
        <w:ind w:left="567"/>
        <w:contextualSpacing/>
        <w:rPr>
          <w:rFonts w:ascii="Times New Roman" w:hAnsi="Times New Roman"/>
          <w:sz w:val="24"/>
          <w:szCs w:val="24"/>
        </w:rPr>
      </w:pPr>
    </w:p>
    <w:p w14:paraId="61976C7A" w14:textId="2B86658C" w:rsidR="00945BB4" w:rsidRPr="00E74D3C" w:rsidRDefault="002E62CF" w:rsidP="00AB4D08">
      <w:pPr>
        <w:pStyle w:val="Ttulo1"/>
        <w:contextualSpacing/>
        <w:rPr>
          <w:rFonts w:cs="Times New Roman"/>
          <w:sz w:val="24"/>
          <w:szCs w:val="24"/>
        </w:rPr>
      </w:pPr>
      <w:bookmarkStart w:id="81" w:name="_Toc32317292"/>
      <w:bookmarkStart w:id="82" w:name="_GoBack"/>
      <w:bookmarkEnd w:id="82"/>
      <w:r w:rsidRPr="00E74D3C">
        <w:rPr>
          <w:rFonts w:cs="Times New Roman"/>
          <w:sz w:val="24"/>
          <w:szCs w:val="24"/>
        </w:rPr>
        <w:t>NOTA 2</w:t>
      </w:r>
      <w:r w:rsidR="00D50670" w:rsidRPr="00E74D3C">
        <w:rPr>
          <w:rFonts w:cs="Times New Roman"/>
          <w:sz w:val="24"/>
          <w:szCs w:val="24"/>
        </w:rPr>
        <w:t>8</w:t>
      </w:r>
      <w:r w:rsidRPr="00E74D3C">
        <w:rPr>
          <w:rFonts w:cs="Times New Roman"/>
          <w:sz w:val="24"/>
          <w:szCs w:val="24"/>
        </w:rPr>
        <w:t>. INGRESOS</w:t>
      </w:r>
      <w:bookmarkEnd w:id="81"/>
      <w:r w:rsidRPr="00E74D3C">
        <w:rPr>
          <w:rFonts w:cs="Times New Roman"/>
          <w:sz w:val="24"/>
          <w:szCs w:val="24"/>
        </w:rPr>
        <w:t xml:space="preserve"> </w:t>
      </w:r>
    </w:p>
    <w:p w14:paraId="4FEFA6DE" w14:textId="77777777" w:rsidR="0071634E" w:rsidRPr="00E74D3C" w:rsidRDefault="0071634E" w:rsidP="00AB4D08">
      <w:pPr>
        <w:spacing w:after="0" w:line="240" w:lineRule="auto"/>
        <w:contextualSpacing/>
        <w:jc w:val="both"/>
        <w:rPr>
          <w:rFonts w:ascii="Times New Roman" w:hAnsi="Times New Roman"/>
          <w:b/>
          <w:sz w:val="24"/>
          <w:szCs w:val="24"/>
        </w:rPr>
      </w:pPr>
    </w:p>
    <w:p w14:paraId="37E18464" w14:textId="7E521FC9" w:rsidR="0071634E" w:rsidRPr="00E74D3C" w:rsidRDefault="0071634E" w:rsidP="00AB4D08">
      <w:pPr>
        <w:pStyle w:val="Ttulo2"/>
        <w:numPr>
          <w:ilvl w:val="0"/>
          <w:numId w:val="0"/>
        </w:numPr>
        <w:spacing w:line="240" w:lineRule="auto"/>
        <w:contextualSpacing/>
        <w:rPr>
          <w:rFonts w:cs="Times New Roman"/>
          <w:szCs w:val="24"/>
        </w:rPr>
      </w:pPr>
      <w:bookmarkStart w:id="83" w:name="_Toc32317293"/>
      <w:r w:rsidRPr="00E74D3C">
        <w:rPr>
          <w:rFonts w:cs="Times New Roman"/>
          <w:szCs w:val="24"/>
        </w:rPr>
        <w:t>Composición</w:t>
      </w:r>
      <w:bookmarkEnd w:id="83"/>
    </w:p>
    <w:p w14:paraId="61A0BFD3" w14:textId="77777777" w:rsidR="0071634E" w:rsidRPr="00E74D3C" w:rsidRDefault="0071634E" w:rsidP="00AB4D08">
      <w:pPr>
        <w:spacing w:after="0" w:line="240" w:lineRule="auto"/>
        <w:contextualSpacing/>
        <w:jc w:val="both"/>
        <w:rPr>
          <w:rFonts w:ascii="Times New Roman" w:hAnsi="Times New Roman"/>
          <w:b/>
          <w:sz w:val="24"/>
          <w:szCs w:val="24"/>
        </w:rPr>
      </w:pPr>
    </w:p>
    <w:p w14:paraId="6D74F2B9" w14:textId="65E55932" w:rsidR="0071634E" w:rsidRDefault="00E74D3C" w:rsidP="00AB4D08">
      <w:pPr>
        <w:pStyle w:val="Prrafodelista"/>
        <w:spacing w:after="0" w:line="240" w:lineRule="auto"/>
        <w:ind w:left="567"/>
        <w:jc w:val="both"/>
        <w:rPr>
          <w:rFonts w:ascii="Times New Roman" w:hAnsi="Times New Roman"/>
          <w:sz w:val="24"/>
          <w:szCs w:val="24"/>
        </w:rPr>
      </w:pPr>
      <w:r w:rsidRPr="00524A77">
        <w:rPr>
          <w:rFonts w:ascii="Times New Roman" w:hAnsi="Times New Roman"/>
          <w:sz w:val="24"/>
          <w:szCs w:val="24"/>
        </w:rPr>
        <w:t>Con co</w:t>
      </w:r>
      <w:r w:rsidR="00F236CE" w:rsidRPr="00524A77">
        <w:rPr>
          <w:rFonts w:ascii="Times New Roman" w:hAnsi="Times New Roman"/>
          <w:sz w:val="24"/>
          <w:szCs w:val="24"/>
        </w:rPr>
        <w:t>r</w:t>
      </w:r>
      <w:r w:rsidRPr="00524A77">
        <w:rPr>
          <w:rFonts w:ascii="Times New Roman" w:hAnsi="Times New Roman"/>
          <w:sz w:val="24"/>
          <w:szCs w:val="24"/>
        </w:rPr>
        <w:t xml:space="preserve">te a 31 de diciembre de 2019, </w:t>
      </w:r>
      <w:r w:rsidR="00F236CE" w:rsidRPr="00524A77">
        <w:rPr>
          <w:rFonts w:ascii="Times New Roman" w:hAnsi="Times New Roman"/>
          <w:sz w:val="24"/>
          <w:szCs w:val="24"/>
        </w:rPr>
        <w:t>los ingresos no tributarios presentan los siguientes saldos</w:t>
      </w:r>
      <w:r w:rsidRPr="00524A77">
        <w:rPr>
          <w:rFonts w:ascii="Times New Roman" w:hAnsi="Times New Roman"/>
          <w:sz w:val="24"/>
          <w:szCs w:val="24"/>
        </w:rPr>
        <w:t>:</w:t>
      </w:r>
    </w:p>
    <w:p w14:paraId="71555C27" w14:textId="77777777" w:rsidR="00F3282D" w:rsidRDefault="00F3282D" w:rsidP="00AB4D08">
      <w:pPr>
        <w:pStyle w:val="Prrafodelista"/>
        <w:spacing w:after="0" w:line="240" w:lineRule="auto"/>
        <w:ind w:left="567"/>
        <w:jc w:val="both"/>
        <w:rPr>
          <w:rFonts w:ascii="Times New Roman" w:hAnsi="Times New Roman"/>
          <w:sz w:val="24"/>
          <w:szCs w:val="24"/>
        </w:rPr>
      </w:pPr>
    </w:p>
    <w:p w14:paraId="3B81FE2B" w14:textId="4F236E1D" w:rsidR="00F236CE" w:rsidRDefault="00524A77" w:rsidP="00AB4D08">
      <w:pPr>
        <w:pStyle w:val="Prrafodelista"/>
        <w:spacing w:after="0" w:line="240" w:lineRule="auto"/>
        <w:ind w:left="567"/>
        <w:jc w:val="both"/>
        <w:rPr>
          <w:rFonts w:ascii="Times New Roman" w:hAnsi="Times New Roman"/>
          <w:sz w:val="24"/>
          <w:szCs w:val="24"/>
        </w:rPr>
      </w:pPr>
      <w:r w:rsidRPr="00524A77">
        <w:rPr>
          <w:noProof/>
          <w:lang w:eastAsia="es-CO"/>
        </w:rPr>
        <w:drawing>
          <wp:inline distT="0" distB="0" distL="0" distR="0" wp14:anchorId="4C3C8B34" wp14:editId="55418F4D">
            <wp:extent cx="4908550" cy="13970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08550" cy="1397000"/>
                    </a:xfrm>
                    <a:prstGeom prst="rect">
                      <a:avLst/>
                    </a:prstGeom>
                    <a:noFill/>
                    <a:ln>
                      <a:noFill/>
                    </a:ln>
                  </pic:spPr>
                </pic:pic>
              </a:graphicData>
            </a:graphic>
          </wp:inline>
        </w:drawing>
      </w:r>
    </w:p>
    <w:p w14:paraId="05009463" w14:textId="45AE0008" w:rsidR="00F236CE" w:rsidRDefault="00F236CE" w:rsidP="00AB4D08">
      <w:pPr>
        <w:pStyle w:val="Prrafodelista"/>
        <w:spacing w:after="0" w:line="240" w:lineRule="auto"/>
        <w:ind w:left="567"/>
        <w:jc w:val="both"/>
        <w:rPr>
          <w:rFonts w:ascii="Times New Roman" w:hAnsi="Times New Roman"/>
          <w:sz w:val="24"/>
          <w:szCs w:val="24"/>
        </w:rPr>
      </w:pPr>
    </w:p>
    <w:p w14:paraId="240361E8" w14:textId="5945A7C2" w:rsidR="0047343C" w:rsidRDefault="0047343C" w:rsidP="00AB4D08">
      <w:pPr>
        <w:pStyle w:val="Prrafodelista"/>
        <w:spacing w:after="0" w:line="240" w:lineRule="auto"/>
        <w:ind w:left="567"/>
        <w:jc w:val="both"/>
        <w:rPr>
          <w:rFonts w:ascii="Times New Roman" w:hAnsi="Times New Roman"/>
          <w:sz w:val="24"/>
          <w:szCs w:val="24"/>
        </w:rPr>
      </w:pPr>
      <w:r>
        <w:rPr>
          <w:rFonts w:ascii="Times New Roman" w:hAnsi="Times New Roman"/>
          <w:sz w:val="24"/>
          <w:szCs w:val="24"/>
        </w:rPr>
        <w:t xml:space="preserve">La variación obedece principalmente al reconocimiento de los ingresos </w:t>
      </w:r>
      <w:r w:rsidR="00955D58">
        <w:rPr>
          <w:rFonts w:ascii="Times New Roman" w:hAnsi="Times New Roman"/>
          <w:sz w:val="24"/>
          <w:szCs w:val="24"/>
        </w:rPr>
        <w:t>del acuerdo de valorización 724/18.</w:t>
      </w:r>
    </w:p>
    <w:p w14:paraId="6A2DA781" w14:textId="77777777" w:rsidR="0047343C" w:rsidRDefault="0047343C" w:rsidP="00AB4D08">
      <w:pPr>
        <w:pStyle w:val="Prrafodelista"/>
        <w:spacing w:after="0" w:line="240" w:lineRule="auto"/>
        <w:ind w:left="567"/>
        <w:jc w:val="both"/>
        <w:rPr>
          <w:rFonts w:ascii="Times New Roman" w:hAnsi="Times New Roman"/>
          <w:sz w:val="24"/>
          <w:szCs w:val="24"/>
        </w:rPr>
      </w:pPr>
    </w:p>
    <w:p w14:paraId="23C25D21" w14:textId="568C930A" w:rsidR="0071634E" w:rsidRPr="00E74D3C" w:rsidRDefault="0071634E" w:rsidP="00AB4D08">
      <w:pPr>
        <w:pStyle w:val="Ttulo2"/>
        <w:numPr>
          <w:ilvl w:val="1"/>
          <w:numId w:val="36"/>
        </w:numPr>
        <w:spacing w:line="240" w:lineRule="auto"/>
        <w:ind w:left="567" w:hanging="567"/>
        <w:contextualSpacing/>
        <w:rPr>
          <w:rFonts w:cs="Times New Roman"/>
          <w:szCs w:val="24"/>
        </w:rPr>
      </w:pPr>
      <w:bookmarkStart w:id="84" w:name="_Toc32317294"/>
      <w:r w:rsidRPr="00E74D3C">
        <w:rPr>
          <w:rFonts w:cs="Times New Roman"/>
          <w:szCs w:val="24"/>
        </w:rPr>
        <w:t>Ingresos de transacciones sin contraprestación</w:t>
      </w:r>
      <w:bookmarkEnd w:id="84"/>
    </w:p>
    <w:p w14:paraId="727B79B3" w14:textId="77777777" w:rsidR="0071634E" w:rsidRPr="00066893" w:rsidRDefault="0071634E" w:rsidP="00AB4D08">
      <w:pPr>
        <w:spacing w:after="0" w:line="240" w:lineRule="auto"/>
        <w:ind w:left="567"/>
        <w:contextualSpacing/>
        <w:jc w:val="both"/>
        <w:rPr>
          <w:rFonts w:ascii="Times New Roman" w:hAnsi="Times New Roman"/>
          <w:sz w:val="24"/>
          <w:szCs w:val="24"/>
        </w:rPr>
      </w:pPr>
    </w:p>
    <w:p w14:paraId="5ECDECFA"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Al 31 de diciembre, la cuenta está conformada por los siguientes ingresos:</w:t>
      </w:r>
    </w:p>
    <w:p w14:paraId="1D0914E7" w14:textId="77777777" w:rsidR="00066893" w:rsidRPr="00066893" w:rsidRDefault="00066893" w:rsidP="00AB4D08">
      <w:pPr>
        <w:spacing w:line="240" w:lineRule="auto"/>
        <w:ind w:left="567"/>
        <w:contextualSpacing/>
        <w:jc w:val="both"/>
        <w:rPr>
          <w:rFonts w:ascii="Times New Roman" w:eastAsia="Arial" w:hAnsi="Times New Roman"/>
          <w:sz w:val="24"/>
          <w:szCs w:val="24"/>
        </w:rPr>
      </w:pPr>
    </w:p>
    <w:p w14:paraId="0073B2D8"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Contribución por valorización</w:t>
      </w:r>
    </w:p>
    <w:p w14:paraId="71A0C289" w14:textId="77777777" w:rsidR="00066893" w:rsidRPr="00066893" w:rsidRDefault="00066893" w:rsidP="00AB4D08">
      <w:pPr>
        <w:spacing w:line="240" w:lineRule="auto"/>
        <w:ind w:left="567"/>
        <w:contextualSpacing/>
        <w:jc w:val="both"/>
        <w:rPr>
          <w:rFonts w:ascii="Times New Roman" w:eastAsia="Arial" w:hAnsi="Times New Roman"/>
          <w:b/>
          <w:sz w:val="24"/>
          <w:szCs w:val="24"/>
          <w:u w:val="single"/>
        </w:rPr>
      </w:pPr>
    </w:p>
    <w:p w14:paraId="3F53F935"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Dentro de esta cuenta se incluyen los ingresos por concepto de capital de contribución de valorización, cuyos actos administrativos asignados fueron debidamente ejecutoriados durante el año 2019, representando un derecho cierto para la Entidad, por un monto total de $815.850.900.350.</w:t>
      </w:r>
    </w:p>
    <w:p w14:paraId="05923542" w14:textId="6CCEC626"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lastRenderedPageBreak/>
        <w:t>Las variaciones en el concepto de capital valorización, obedecen principalmente: Aumento, por causación, liquidación y generación cuentas de cobro, notificación y ejecutoria, Acuerdo 724 de 2018, reportado en la interfaz del sistema valorización a STONE.</w:t>
      </w:r>
    </w:p>
    <w:p w14:paraId="5C06F715" w14:textId="77777777" w:rsidR="00066893" w:rsidRPr="00066893" w:rsidRDefault="00066893" w:rsidP="00AB4D08">
      <w:pPr>
        <w:spacing w:line="240" w:lineRule="auto"/>
        <w:ind w:left="567"/>
        <w:contextualSpacing/>
        <w:rPr>
          <w:rFonts w:ascii="Times New Roman" w:hAnsi="Times New Roman"/>
          <w:sz w:val="24"/>
          <w:szCs w:val="24"/>
        </w:rPr>
      </w:pPr>
    </w:p>
    <w:p w14:paraId="1241BD9E" w14:textId="77777777" w:rsidR="00066893" w:rsidRPr="00066893" w:rsidRDefault="00066893" w:rsidP="00AB4D08">
      <w:pPr>
        <w:spacing w:line="240" w:lineRule="auto"/>
        <w:ind w:left="567"/>
        <w:contextualSpacing/>
        <w:rPr>
          <w:rFonts w:ascii="Times New Roman" w:hAnsi="Times New Roman"/>
          <w:sz w:val="24"/>
          <w:szCs w:val="24"/>
        </w:rPr>
      </w:pPr>
      <w:r w:rsidRPr="00066893">
        <w:rPr>
          <w:rFonts w:ascii="Times New Roman" w:hAnsi="Times New Roman"/>
          <w:sz w:val="24"/>
          <w:szCs w:val="24"/>
        </w:rPr>
        <w:t>Fondos Recibidos</w:t>
      </w:r>
    </w:p>
    <w:p w14:paraId="7F1419D5"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 xml:space="preserve"> </w:t>
      </w:r>
    </w:p>
    <w:p w14:paraId="6CB60625" w14:textId="412FEC80" w:rsidR="00146FB4" w:rsidRDefault="00066893" w:rsidP="00AB4D08">
      <w:pPr>
        <w:spacing w:after="0"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El siguiente es el detalle de las transferencias recibidas por parte de la Secretaría Distrital de Hacienda en la vigencia, para el pago de los compromisos de la entidad, financiados con esta fuente de recursos. Estos representan el 40% de los Ingresos de la vigencia 2019.</w:t>
      </w:r>
    </w:p>
    <w:p w14:paraId="02954F96" w14:textId="77777777" w:rsidR="00955050" w:rsidRDefault="00955050" w:rsidP="00AB4D08">
      <w:pPr>
        <w:spacing w:after="0" w:line="240" w:lineRule="auto"/>
        <w:ind w:left="567"/>
        <w:contextualSpacing/>
        <w:jc w:val="both"/>
        <w:rPr>
          <w:rFonts w:ascii="Times New Roman" w:eastAsia="Arial" w:hAnsi="Times New Roman"/>
          <w:sz w:val="24"/>
          <w:szCs w:val="24"/>
        </w:rPr>
      </w:pPr>
    </w:p>
    <w:tbl>
      <w:tblPr>
        <w:tblpPr w:leftFromText="141" w:rightFromText="141" w:vertAnchor="text" w:horzAnchor="page" w:tblpX="3557" w:tblpY="27"/>
        <w:tblW w:w="6340" w:type="dxa"/>
        <w:tblCellMar>
          <w:left w:w="70" w:type="dxa"/>
          <w:right w:w="70" w:type="dxa"/>
        </w:tblCellMar>
        <w:tblLook w:val="04A0" w:firstRow="1" w:lastRow="0" w:firstColumn="1" w:lastColumn="0" w:noHBand="0" w:noVBand="1"/>
      </w:tblPr>
      <w:tblGrid>
        <w:gridCol w:w="2740"/>
        <w:gridCol w:w="1800"/>
        <w:gridCol w:w="1800"/>
      </w:tblGrid>
      <w:tr w:rsidR="00DC1551" w:rsidRPr="00DC1551" w14:paraId="007726D2" w14:textId="77777777" w:rsidTr="00DC1551">
        <w:trPr>
          <w:trHeight w:val="315"/>
        </w:trPr>
        <w:tc>
          <w:tcPr>
            <w:tcW w:w="2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731260" w14:textId="77777777" w:rsidR="00DC1551" w:rsidRPr="00DC1551" w:rsidRDefault="00DC1551" w:rsidP="00AB4D08">
            <w:pPr>
              <w:spacing w:after="0" w:line="240" w:lineRule="auto"/>
              <w:contextualSpacing/>
              <w:jc w:val="center"/>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FONDOS RECIBIDOS</w:t>
            </w:r>
          </w:p>
        </w:tc>
        <w:tc>
          <w:tcPr>
            <w:tcW w:w="1800" w:type="dxa"/>
            <w:tcBorders>
              <w:top w:val="single" w:sz="4" w:space="0" w:color="auto"/>
              <w:left w:val="nil"/>
              <w:bottom w:val="single" w:sz="4" w:space="0" w:color="auto"/>
              <w:right w:val="single" w:sz="4" w:space="0" w:color="auto"/>
            </w:tcBorders>
            <w:shd w:val="clear" w:color="000000" w:fill="D9D9D9"/>
            <w:noWrap/>
            <w:hideMark/>
          </w:tcPr>
          <w:p w14:paraId="7994AA8A" w14:textId="77777777" w:rsidR="00DC1551" w:rsidRPr="00DC1551" w:rsidRDefault="00DC1551" w:rsidP="00AB4D08">
            <w:pPr>
              <w:spacing w:after="0" w:line="240" w:lineRule="auto"/>
              <w:contextualSpacing/>
              <w:jc w:val="center"/>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2019</w:t>
            </w:r>
          </w:p>
        </w:tc>
        <w:tc>
          <w:tcPr>
            <w:tcW w:w="1800" w:type="dxa"/>
            <w:tcBorders>
              <w:top w:val="single" w:sz="4" w:space="0" w:color="auto"/>
              <w:left w:val="nil"/>
              <w:bottom w:val="single" w:sz="4" w:space="0" w:color="auto"/>
              <w:right w:val="single" w:sz="4" w:space="0" w:color="auto"/>
            </w:tcBorders>
            <w:shd w:val="clear" w:color="000000" w:fill="D9D9D9"/>
            <w:noWrap/>
            <w:hideMark/>
          </w:tcPr>
          <w:p w14:paraId="575F5CC7" w14:textId="77777777" w:rsidR="00DC1551" w:rsidRPr="00DC1551" w:rsidRDefault="00DC1551" w:rsidP="00AB4D08">
            <w:pPr>
              <w:spacing w:after="0" w:line="240" w:lineRule="auto"/>
              <w:contextualSpacing/>
              <w:jc w:val="center"/>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2018</w:t>
            </w:r>
          </w:p>
        </w:tc>
      </w:tr>
      <w:tr w:rsidR="00DC1551" w:rsidRPr="00DC1551" w14:paraId="466720BC" w14:textId="77777777" w:rsidTr="00DC1551">
        <w:trPr>
          <w:trHeight w:val="315"/>
        </w:trPr>
        <w:tc>
          <w:tcPr>
            <w:tcW w:w="2740" w:type="dxa"/>
            <w:tcBorders>
              <w:top w:val="nil"/>
              <w:left w:val="single" w:sz="4" w:space="0" w:color="auto"/>
              <w:bottom w:val="nil"/>
              <w:right w:val="single" w:sz="4" w:space="0" w:color="auto"/>
            </w:tcBorders>
            <w:shd w:val="clear" w:color="auto" w:fill="auto"/>
            <w:noWrap/>
            <w:hideMark/>
          </w:tcPr>
          <w:p w14:paraId="761908AC" w14:textId="77777777" w:rsidR="00DC1551" w:rsidRPr="00DC1551" w:rsidRDefault="00DC1551" w:rsidP="00AB4D08">
            <w:pPr>
              <w:spacing w:after="0" w:line="240" w:lineRule="auto"/>
              <w:contextualSpacing/>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FUNCIONAMIENTO</w:t>
            </w:r>
          </w:p>
        </w:tc>
        <w:tc>
          <w:tcPr>
            <w:tcW w:w="1800" w:type="dxa"/>
            <w:tcBorders>
              <w:top w:val="nil"/>
              <w:left w:val="nil"/>
              <w:bottom w:val="nil"/>
              <w:right w:val="single" w:sz="4" w:space="0" w:color="auto"/>
            </w:tcBorders>
            <w:shd w:val="clear" w:color="auto" w:fill="auto"/>
            <w:noWrap/>
            <w:hideMark/>
          </w:tcPr>
          <w:p w14:paraId="396EAC24" w14:textId="77777777" w:rsidR="00DC1551" w:rsidRPr="00DC1551" w:rsidRDefault="00DC1551" w:rsidP="00AB4D08">
            <w:pPr>
              <w:spacing w:after="0" w:line="240" w:lineRule="auto"/>
              <w:contextualSpacing/>
              <w:jc w:val="right"/>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61.154.506.843</w:t>
            </w:r>
          </w:p>
        </w:tc>
        <w:tc>
          <w:tcPr>
            <w:tcW w:w="1800" w:type="dxa"/>
            <w:tcBorders>
              <w:top w:val="nil"/>
              <w:left w:val="nil"/>
              <w:bottom w:val="nil"/>
              <w:right w:val="single" w:sz="4" w:space="0" w:color="auto"/>
            </w:tcBorders>
            <w:shd w:val="clear" w:color="auto" w:fill="auto"/>
            <w:noWrap/>
            <w:hideMark/>
          </w:tcPr>
          <w:p w14:paraId="65CEB79E" w14:textId="77777777" w:rsidR="00DC1551" w:rsidRPr="00DC1551" w:rsidRDefault="00DC1551" w:rsidP="00AB4D08">
            <w:pPr>
              <w:spacing w:after="0" w:line="240" w:lineRule="auto"/>
              <w:contextualSpacing/>
              <w:jc w:val="right"/>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61.999.888.788</w:t>
            </w:r>
          </w:p>
        </w:tc>
      </w:tr>
      <w:tr w:rsidR="00DC1551" w:rsidRPr="00DC1551" w14:paraId="342A14AE" w14:textId="77777777" w:rsidTr="00DC1551">
        <w:trPr>
          <w:trHeight w:val="315"/>
        </w:trPr>
        <w:tc>
          <w:tcPr>
            <w:tcW w:w="2740" w:type="dxa"/>
            <w:tcBorders>
              <w:top w:val="nil"/>
              <w:left w:val="single" w:sz="4" w:space="0" w:color="auto"/>
              <w:bottom w:val="single" w:sz="4" w:space="0" w:color="auto"/>
              <w:right w:val="single" w:sz="4" w:space="0" w:color="auto"/>
            </w:tcBorders>
            <w:shd w:val="clear" w:color="auto" w:fill="auto"/>
            <w:noWrap/>
            <w:hideMark/>
          </w:tcPr>
          <w:p w14:paraId="7D5F9B31" w14:textId="77777777" w:rsidR="00DC1551" w:rsidRPr="00DC1551" w:rsidRDefault="00DC1551" w:rsidP="00AB4D08">
            <w:pPr>
              <w:spacing w:after="0" w:line="240" w:lineRule="auto"/>
              <w:contextualSpacing/>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INVERSIÓN</w:t>
            </w:r>
          </w:p>
        </w:tc>
        <w:tc>
          <w:tcPr>
            <w:tcW w:w="1800" w:type="dxa"/>
            <w:tcBorders>
              <w:top w:val="nil"/>
              <w:left w:val="nil"/>
              <w:bottom w:val="single" w:sz="4" w:space="0" w:color="auto"/>
              <w:right w:val="single" w:sz="4" w:space="0" w:color="auto"/>
            </w:tcBorders>
            <w:shd w:val="clear" w:color="auto" w:fill="auto"/>
            <w:noWrap/>
            <w:hideMark/>
          </w:tcPr>
          <w:p w14:paraId="57D1B144" w14:textId="77777777" w:rsidR="00DC1551" w:rsidRPr="00DC1551" w:rsidRDefault="00DC1551" w:rsidP="00AB4D08">
            <w:pPr>
              <w:spacing w:after="0" w:line="240" w:lineRule="auto"/>
              <w:contextualSpacing/>
              <w:jc w:val="right"/>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756.794.369.909</w:t>
            </w:r>
          </w:p>
        </w:tc>
        <w:tc>
          <w:tcPr>
            <w:tcW w:w="1800" w:type="dxa"/>
            <w:tcBorders>
              <w:top w:val="nil"/>
              <w:left w:val="nil"/>
              <w:bottom w:val="single" w:sz="4" w:space="0" w:color="auto"/>
              <w:right w:val="single" w:sz="4" w:space="0" w:color="auto"/>
            </w:tcBorders>
            <w:shd w:val="clear" w:color="auto" w:fill="auto"/>
            <w:noWrap/>
            <w:hideMark/>
          </w:tcPr>
          <w:p w14:paraId="228A7152" w14:textId="77777777" w:rsidR="00DC1551" w:rsidRPr="00DC1551" w:rsidRDefault="00DC1551" w:rsidP="00AB4D08">
            <w:pPr>
              <w:spacing w:after="0" w:line="240" w:lineRule="auto"/>
              <w:contextualSpacing/>
              <w:jc w:val="right"/>
              <w:rPr>
                <w:rFonts w:ascii="Times New Roman" w:eastAsia="Times New Roman" w:hAnsi="Times New Roman"/>
                <w:color w:val="000000"/>
                <w:sz w:val="20"/>
                <w:szCs w:val="20"/>
                <w:lang w:eastAsia="es-CO"/>
              </w:rPr>
            </w:pPr>
            <w:r w:rsidRPr="00DC1551">
              <w:rPr>
                <w:rFonts w:ascii="Times New Roman" w:eastAsia="Times New Roman" w:hAnsi="Times New Roman"/>
                <w:color w:val="000000"/>
                <w:sz w:val="20"/>
                <w:szCs w:val="20"/>
                <w:lang w:eastAsia="es-CO"/>
              </w:rPr>
              <w:t>758.110.729.574</w:t>
            </w:r>
          </w:p>
        </w:tc>
      </w:tr>
      <w:tr w:rsidR="00DC1551" w:rsidRPr="00DC1551" w14:paraId="049CFC82" w14:textId="77777777" w:rsidTr="00DC1551">
        <w:trPr>
          <w:trHeight w:val="315"/>
        </w:trPr>
        <w:tc>
          <w:tcPr>
            <w:tcW w:w="2740" w:type="dxa"/>
            <w:tcBorders>
              <w:top w:val="single" w:sz="4" w:space="0" w:color="auto"/>
              <w:left w:val="single" w:sz="4" w:space="0" w:color="auto"/>
              <w:bottom w:val="single" w:sz="4" w:space="0" w:color="auto"/>
              <w:right w:val="single" w:sz="4" w:space="0" w:color="auto"/>
            </w:tcBorders>
            <w:shd w:val="clear" w:color="000000" w:fill="D9D9D9"/>
            <w:noWrap/>
            <w:hideMark/>
          </w:tcPr>
          <w:p w14:paraId="4D683266" w14:textId="77777777" w:rsidR="00DC1551" w:rsidRPr="00DC1551" w:rsidRDefault="00DC1551" w:rsidP="00AB4D08">
            <w:pPr>
              <w:spacing w:after="0" w:line="240" w:lineRule="auto"/>
              <w:contextualSpacing/>
              <w:jc w:val="center"/>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TOTAL</w:t>
            </w:r>
          </w:p>
        </w:tc>
        <w:tc>
          <w:tcPr>
            <w:tcW w:w="1800" w:type="dxa"/>
            <w:tcBorders>
              <w:top w:val="single" w:sz="4" w:space="0" w:color="auto"/>
              <w:left w:val="nil"/>
              <w:bottom w:val="single" w:sz="4" w:space="0" w:color="auto"/>
              <w:right w:val="single" w:sz="4" w:space="0" w:color="auto"/>
            </w:tcBorders>
            <w:shd w:val="clear" w:color="000000" w:fill="D9D9D9"/>
            <w:noWrap/>
            <w:hideMark/>
          </w:tcPr>
          <w:p w14:paraId="31624F11" w14:textId="77777777" w:rsidR="00DC1551" w:rsidRPr="00DC1551" w:rsidRDefault="00DC1551" w:rsidP="00AB4D08">
            <w:pPr>
              <w:spacing w:after="0" w:line="240" w:lineRule="auto"/>
              <w:contextualSpacing/>
              <w:jc w:val="right"/>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817.948.876.752</w:t>
            </w:r>
          </w:p>
        </w:tc>
        <w:tc>
          <w:tcPr>
            <w:tcW w:w="1800" w:type="dxa"/>
            <w:tcBorders>
              <w:top w:val="single" w:sz="4" w:space="0" w:color="auto"/>
              <w:left w:val="nil"/>
              <w:bottom w:val="single" w:sz="4" w:space="0" w:color="auto"/>
              <w:right w:val="single" w:sz="4" w:space="0" w:color="auto"/>
            </w:tcBorders>
            <w:shd w:val="clear" w:color="000000" w:fill="D9D9D9"/>
            <w:noWrap/>
            <w:hideMark/>
          </w:tcPr>
          <w:p w14:paraId="23801B1D" w14:textId="77777777" w:rsidR="00DC1551" w:rsidRPr="00DC1551" w:rsidRDefault="00DC1551" w:rsidP="00AB4D08">
            <w:pPr>
              <w:spacing w:after="0" w:line="240" w:lineRule="auto"/>
              <w:contextualSpacing/>
              <w:jc w:val="right"/>
              <w:rPr>
                <w:rFonts w:ascii="Times New Roman" w:eastAsia="Times New Roman" w:hAnsi="Times New Roman"/>
                <w:b/>
                <w:bCs/>
                <w:color w:val="000000"/>
                <w:sz w:val="20"/>
                <w:szCs w:val="20"/>
                <w:lang w:eastAsia="es-CO"/>
              </w:rPr>
            </w:pPr>
            <w:r w:rsidRPr="00DC1551">
              <w:rPr>
                <w:rFonts w:ascii="Times New Roman" w:eastAsia="Times New Roman" w:hAnsi="Times New Roman"/>
                <w:b/>
                <w:bCs/>
                <w:color w:val="000000"/>
                <w:sz w:val="20"/>
                <w:szCs w:val="20"/>
                <w:lang w:eastAsia="es-CO"/>
              </w:rPr>
              <w:t>820.110.618.362</w:t>
            </w:r>
          </w:p>
        </w:tc>
      </w:tr>
    </w:tbl>
    <w:p w14:paraId="48CCFD80"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7B260185"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7C154C57"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581E9DB7"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3EC05095"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72E02E01" w14:textId="77777777" w:rsidR="00DC1551" w:rsidRDefault="00DC1551" w:rsidP="00AB4D08">
      <w:pPr>
        <w:spacing w:after="0" w:line="240" w:lineRule="auto"/>
        <w:ind w:left="567"/>
        <w:contextualSpacing/>
        <w:jc w:val="both"/>
        <w:rPr>
          <w:rFonts w:ascii="Times New Roman" w:eastAsia="Arial" w:hAnsi="Times New Roman"/>
          <w:sz w:val="24"/>
          <w:szCs w:val="24"/>
        </w:rPr>
      </w:pPr>
    </w:p>
    <w:p w14:paraId="52021041" w14:textId="43FD9350" w:rsidR="00066893" w:rsidRPr="00066893" w:rsidRDefault="00066893" w:rsidP="00AB4D08">
      <w:pPr>
        <w:tabs>
          <w:tab w:val="left" w:pos="6405"/>
        </w:tabs>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Otros ingresos intereses de mora</w:t>
      </w:r>
      <w:r w:rsidRPr="00066893">
        <w:rPr>
          <w:rFonts w:ascii="Times New Roman" w:eastAsia="Arial" w:hAnsi="Times New Roman"/>
          <w:sz w:val="24"/>
          <w:szCs w:val="24"/>
        </w:rPr>
        <w:tab/>
      </w:r>
    </w:p>
    <w:p w14:paraId="34365E2A"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 xml:space="preserve"> </w:t>
      </w:r>
    </w:p>
    <w:p w14:paraId="68DC8085" w14:textId="24C72EDA" w:rsidR="00066893" w:rsidRDefault="00066893" w:rsidP="00AB4D08">
      <w:pPr>
        <w:spacing w:after="0"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En la vigencia 2019 se causaron, $3.982.610.567. Se registran los intereses generados por mora en el pago de contribución, en virtud de los Acuerdos: Beneficio General, Ciudad Salitre, Acuerdo 25/95, Acuerdo 48/01, Obra por Tu Lugar, Acuerdo 180/05, Acuerdo 398/09 y Acuerdo 523 de 2013.</w:t>
      </w:r>
    </w:p>
    <w:p w14:paraId="28703A39" w14:textId="77777777" w:rsidR="00903DB6" w:rsidRDefault="00903DB6" w:rsidP="00AB4D08">
      <w:pPr>
        <w:spacing w:after="0" w:line="240" w:lineRule="auto"/>
        <w:ind w:left="567"/>
        <w:contextualSpacing/>
        <w:jc w:val="both"/>
        <w:rPr>
          <w:rFonts w:ascii="Times New Roman" w:eastAsia="Arial" w:hAnsi="Times New Roman"/>
          <w:sz w:val="24"/>
          <w:szCs w:val="24"/>
        </w:rPr>
      </w:pPr>
    </w:p>
    <w:tbl>
      <w:tblPr>
        <w:tblW w:w="6742" w:type="dxa"/>
        <w:tblInd w:w="1039" w:type="dxa"/>
        <w:tblCellMar>
          <w:left w:w="70" w:type="dxa"/>
          <w:right w:w="70" w:type="dxa"/>
        </w:tblCellMar>
        <w:tblLook w:val="04A0" w:firstRow="1" w:lastRow="0" w:firstColumn="1" w:lastColumn="0" w:noHBand="0" w:noVBand="1"/>
      </w:tblPr>
      <w:tblGrid>
        <w:gridCol w:w="5057"/>
        <w:gridCol w:w="1685"/>
      </w:tblGrid>
      <w:tr w:rsidR="00903DB6" w:rsidRPr="00903DB6" w14:paraId="4848ECC5" w14:textId="77777777" w:rsidTr="00DC1551">
        <w:trPr>
          <w:trHeight w:val="261"/>
        </w:trPr>
        <w:tc>
          <w:tcPr>
            <w:tcW w:w="5057" w:type="dxa"/>
            <w:tcBorders>
              <w:top w:val="single" w:sz="4" w:space="0" w:color="auto"/>
              <w:left w:val="single" w:sz="4" w:space="0" w:color="auto"/>
              <w:bottom w:val="single" w:sz="4" w:space="0" w:color="auto"/>
              <w:right w:val="single" w:sz="4" w:space="0" w:color="auto"/>
            </w:tcBorders>
            <w:shd w:val="clear" w:color="000000" w:fill="D9D9D9"/>
            <w:noWrap/>
            <w:hideMark/>
          </w:tcPr>
          <w:p w14:paraId="23D44A54" w14:textId="77777777" w:rsidR="00903DB6" w:rsidRPr="00903DB6" w:rsidRDefault="00903DB6" w:rsidP="00AB4D08">
            <w:pPr>
              <w:spacing w:after="0" w:line="240" w:lineRule="auto"/>
              <w:contextualSpacing/>
              <w:jc w:val="center"/>
              <w:rPr>
                <w:rFonts w:ascii="Times New Roman" w:eastAsia="Times New Roman" w:hAnsi="Times New Roman"/>
                <w:b/>
                <w:bCs/>
                <w:color w:val="000000"/>
                <w:sz w:val="18"/>
                <w:szCs w:val="18"/>
                <w:lang w:eastAsia="es-CO"/>
              </w:rPr>
            </w:pPr>
            <w:r w:rsidRPr="00903DB6">
              <w:rPr>
                <w:rFonts w:ascii="Times New Roman" w:eastAsia="Times New Roman" w:hAnsi="Times New Roman"/>
                <w:b/>
                <w:bCs/>
                <w:color w:val="000000"/>
                <w:sz w:val="18"/>
                <w:szCs w:val="18"/>
                <w:lang w:eastAsia="es-CO"/>
              </w:rPr>
              <w:t>CONCEPTO</w:t>
            </w:r>
          </w:p>
        </w:tc>
        <w:tc>
          <w:tcPr>
            <w:tcW w:w="1685" w:type="dxa"/>
            <w:tcBorders>
              <w:top w:val="single" w:sz="4" w:space="0" w:color="auto"/>
              <w:left w:val="nil"/>
              <w:bottom w:val="single" w:sz="4" w:space="0" w:color="auto"/>
              <w:right w:val="single" w:sz="4" w:space="0" w:color="auto"/>
            </w:tcBorders>
            <w:shd w:val="clear" w:color="000000" w:fill="D9D9D9"/>
            <w:noWrap/>
            <w:hideMark/>
          </w:tcPr>
          <w:p w14:paraId="223437AF" w14:textId="77777777" w:rsidR="00903DB6" w:rsidRPr="00903DB6" w:rsidRDefault="00903DB6" w:rsidP="00AB4D08">
            <w:pPr>
              <w:spacing w:after="0" w:line="240" w:lineRule="auto"/>
              <w:contextualSpacing/>
              <w:jc w:val="center"/>
              <w:rPr>
                <w:rFonts w:ascii="Times New Roman" w:eastAsia="Times New Roman" w:hAnsi="Times New Roman"/>
                <w:b/>
                <w:bCs/>
                <w:color w:val="000000"/>
                <w:sz w:val="18"/>
                <w:szCs w:val="18"/>
                <w:lang w:eastAsia="es-CO"/>
              </w:rPr>
            </w:pPr>
            <w:r w:rsidRPr="00903DB6">
              <w:rPr>
                <w:rFonts w:ascii="Times New Roman" w:eastAsia="Times New Roman" w:hAnsi="Times New Roman"/>
                <w:b/>
                <w:bCs/>
                <w:color w:val="000000"/>
                <w:sz w:val="18"/>
                <w:szCs w:val="18"/>
                <w:lang w:eastAsia="es-CO"/>
              </w:rPr>
              <w:t>VALOR</w:t>
            </w:r>
          </w:p>
        </w:tc>
      </w:tr>
      <w:tr w:rsidR="00903DB6" w:rsidRPr="00903DB6" w14:paraId="6362A8A0"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30B02440"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 MORA VALORIZ. BENEFICIO GENERAL</w:t>
            </w:r>
          </w:p>
        </w:tc>
        <w:tc>
          <w:tcPr>
            <w:tcW w:w="1685" w:type="dxa"/>
            <w:tcBorders>
              <w:top w:val="nil"/>
              <w:left w:val="nil"/>
              <w:bottom w:val="nil"/>
              <w:right w:val="single" w:sz="4" w:space="0" w:color="auto"/>
            </w:tcBorders>
            <w:shd w:val="clear" w:color="auto" w:fill="auto"/>
            <w:noWrap/>
            <w:hideMark/>
          </w:tcPr>
          <w:p w14:paraId="706B6731"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159.543.498</w:t>
            </w:r>
          </w:p>
        </w:tc>
      </w:tr>
      <w:tr w:rsidR="00903DB6" w:rsidRPr="00903DB6" w14:paraId="1A9EF524"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5AEBFCA2"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 MORA ACUERDO 25 DE 1995</w:t>
            </w:r>
          </w:p>
        </w:tc>
        <w:tc>
          <w:tcPr>
            <w:tcW w:w="1685" w:type="dxa"/>
            <w:tcBorders>
              <w:top w:val="nil"/>
              <w:left w:val="nil"/>
              <w:bottom w:val="nil"/>
              <w:right w:val="single" w:sz="4" w:space="0" w:color="auto"/>
            </w:tcBorders>
            <w:shd w:val="clear" w:color="auto" w:fill="auto"/>
            <w:noWrap/>
            <w:hideMark/>
          </w:tcPr>
          <w:p w14:paraId="2A47AC05"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258.078.087</w:t>
            </w:r>
          </w:p>
        </w:tc>
      </w:tr>
      <w:tr w:rsidR="00903DB6" w:rsidRPr="00903DB6" w14:paraId="464BEFE1"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5F2F17D4"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INTERESES ACUERDO 048/2001</w:t>
            </w:r>
          </w:p>
        </w:tc>
        <w:tc>
          <w:tcPr>
            <w:tcW w:w="1685" w:type="dxa"/>
            <w:tcBorders>
              <w:top w:val="nil"/>
              <w:left w:val="nil"/>
              <w:bottom w:val="nil"/>
              <w:right w:val="single" w:sz="4" w:space="0" w:color="auto"/>
            </w:tcBorders>
            <w:shd w:val="clear" w:color="auto" w:fill="auto"/>
            <w:noWrap/>
            <w:hideMark/>
          </w:tcPr>
          <w:p w14:paraId="2CB2113C"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96.605.803</w:t>
            </w:r>
          </w:p>
        </w:tc>
      </w:tr>
      <w:tr w:rsidR="00903DB6" w:rsidRPr="00903DB6" w14:paraId="7E0EE29D"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6A3E76B5"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 MORA - ACUERDO 180/05 IDU</w:t>
            </w:r>
          </w:p>
        </w:tc>
        <w:tc>
          <w:tcPr>
            <w:tcW w:w="1685" w:type="dxa"/>
            <w:tcBorders>
              <w:top w:val="nil"/>
              <w:left w:val="nil"/>
              <w:bottom w:val="nil"/>
              <w:right w:val="single" w:sz="4" w:space="0" w:color="auto"/>
            </w:tcBorders>
            <w:shd w:val="clear" w:color="auto" w:fill="auto"/>
            <w:noWrap/>
            <w:hideMark/>
          </w:tcPr>
          <w:p w14:paraId="795CF423"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789.899.339</w:t>
            </w:r>
          </w:p>
        </w:tc>
      </w:tr>
      <w:tr w:rsidR="00903DB6" w:rsidRPr="00903DB6" w14:paraId="5A884B24"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1C18A3A3"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INT.MORA AC.398/09</w:t>
            </w:r>
          </w:p>
        </w:tc>
        <w:tc>
          <w:tcPr>
            <w:tcW w:w="1685" w:type="dxa"/>
            <w:tcBorders>
              <w:top w:val="nil"/>
              <w:left w:val="nil"/>
              <w:bottom w:val="nil"/>
              <w:right w:val="single" w:sz="4" w:space="0" w:color="auto"/>
            </w:tcBorders>
            <w:shd w:val="clear" w:color="auto" w:fill="auto"/>
            <w:noWrap/>
            <w:hideMark/>
          </w:tcPr>
          <w:p w14:paraId="784A6EC4"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92.351.277</w:t>
            </w:r>
          </w:p>
        </w:tc>
      </w:tr>
      <w:tr w:rsidR="00903DB6" w:rsidRPr="00903DB6" w14:paraId="7AFE0EA1"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39B77A52"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IDU- INTERESES MORA AC.523/13</w:t>
            </w:r>
          </w:p>
        </w:tc>
        <w:tc>
          <w:tcPr>
            <w:tcW w:w="1685" w:type="dxa"/>
            <w:tcBorders>
              <w:top w:val="nil"/>
              <w:left w:val="nil"/>
              <w:bottom w:val="nil"/>
              <w:right w:val="single" w:sz="4" w:space="0" w:color="auto"/>
            </w:tcBorders>
            <w:shd w:val="clear" w:color="auto" w:fill="auto"/>
            <w:noWrap/>
            <w:hideMark/>
          </w:tcPr>
          <w:p w14:paraId="4EDC7840"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2.578.800.475</w:t>
            </w:r>
          </w:p>
        </w:tc>
      </w:tr>
      <w:tr w:rsidR="00903DB6" w:rsidRPr="00903DB6" w14:paraId="3A419021"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7F843F74"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INTERESES MORA OPTL</w:t>
            </w:r>
          </w:p>
        </w:tc>
        <w:tc>
          <w:tcPr>
            <w:tcW w:w="1685" w:type="dxa"/>
            <w:tcBorders>
              <w:top w:val="nil"/>
              <w:left w:val="nil"/>
              <w:bottom w:val="nil"/>
              <w:right w:val="single" w:sz="4" w:space="0" w:color="auto"/>
            </w:tcBorders>
            <w:shd w:val="clear" w:color="auto" w:fill="auto"/>
            <w:noWrap/>
            <w:hideMark/>
          </w:tcPr>
          <w:p w14:paraId="0F8346D8"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2.759.278</w:t>
            </w:r>
          </w:p>
        </w:tc>
      </w:tr>
      <w:tr w:rsidR="00903DB6" w:rsidRPr="00903DB6" w14:paraId="3A437720" w14:textId="77777777" w:rsidTr="00DC1551">
        <w:trPr>
          <w:trHeight w:val="261"/>
        </w:trPr>
        <w:tc>
          <w:tcPr>
            <w:tcW w:w="5057" w:type="dxa"/>
            <w:tcBorders>
              <w:top w:val="nil"/>
              <w:left w:val="single" w:sz="4" w:space="0" w:color="auto"/>
              <w:bottom w:val="nil"/>
              <w:right w:val="single" w:sz="4" w:space="0" w:color="auto"/>
            </w:tcBorders>
            <w:shd w:val="clear" w:color="auto" w:fill="auto"/>
            <w:noWrap/>
            <w:hideMark/>
          </w:tcPr>
          <w:p w14:paraId="00431CA8" w14:textId="77777777" w:rsidR="00903DB6" w:rsidRPr="00903DB6" w:rsidRDefault="00903DB6" w:rsidP="00AB4D08">
            <w:pPr>
              <w:spacing w:after="0" w:line="240" w:lineRule="auto"/>
              <w:contextualSpacing/>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INTERES MORA ACUERDO 724 DE 2018</w:t>
            </w:r>
          </w:p>
        </w:tc>
        <w:tc>
          <w:tcPr>
            <w:tcW w:w="1685" w:type="dxa"/>
            <w:tcBorders>
              <w:top w:val="nil"/>
              <w:left w:val="nil"/>
              <w:bottom w:val="nil"/>
              <w:right w:val="single" w:sz="4" w:space="0" w:color="auto"/>
            </w:tcBorders>
            <w:shd w:val="clear" w:color="auto" w:fill="auto"/>
            <w:noWrap/>
            <w:hideMark/>
          </w:tcPr>
          <w:p w14:paraId="29AF0444" w14:textId="77777777" w:rsidR="00903DB6" w:rsidRPr="00903DB6" w:rsidRDefault="00903DB6" w:rsidP="00AB4D08">
            <w:pPr>
              <w:spacing w:after="0" w:line="240" w:lineRule="auto"/>
              <w:contextualSpacing/>
              <w:jc w:val="right"/>
              <w:rPr>
                <w:rFonts w:ascii="Times New Roman" w:eastAsia="Times New Roman" w:hAnsi="Times New Roman"/>
                <w:color w:val="000000"/>
                <w:sz w:val="18"/>
                <w:szCs w:val="18"/>
                <w:lang w:eastAsia="es-CO"/>
              </w:rPr>
            </w:pPr>
            <w:r w:rsidRPr="00903DB6">
              <w:rPr>
                <w:rFonts w:ascii="Times New Roman" w:eastAsia="Times New Roman" w:hAnsi="Times New Roman"/>
                <w:color w:val="000000"/>
                <w:sz w:val="18"/>
                <w:szCs w:val="18"/>
                <w:lang w:eastAsia="es-CO"/>
              </w:rPr>
              <w:t>4.572.810</w:t>
            </w:r>
          </w:p>
        </w:tc>
      </w:tr>
      <w:tr w:rsidR="00903DB6" w:rsidRPr="00903DB6" w14:paraId="7338B33F" w14:textId="77777777" w:rsidTr="00DC1551">
        <w:trPr>
          <w:trHeight w:val="261"/>
        </w:trPr>
        <w:tc>
          <w:tcPr>
            <w:tcW w:w="5057" w:type="dxa"/>
            <w:tcBorders>
              <w:top w:val="single" w:sz="4" w:space="0" w:color="auto"/>
              <w:left w:val="single" w:sz="4" w:space="0" w:color="auto"/>
              <w:bottom w:val="single" w:sz="4" w:space="0" w:color="auto"/>
              <w:right w:val="single" w:sz="4" w:space="0" w:color="auto"/>
            </w:tcBorders>
            <w:shd w:val="clear" w:color="000000" w:fill="D9D9D9"/>
            <w:noWrap/>
            <w:hideMark/>
          </w:tcPr>
          <w:p w14:paraId="493DE75B" w14:textId="77777777" w:rsidR="00903DB6" w:rsidRPr="00903DB6" w:rsidRDefault="00903DB6" w:rsidP="00AB4D08">
            <w:pPr>
              <w:spacing w:after="0" w:line="240" w:lineRule="auto"/>
              <w:contextualSpacing/>
              <w:rPr>
                <w:rFonts w:ascii="Times New Roman" w:eastAsia="Times New Roman" w:hAnsi="Times New Roman"/>
                <w:b/>
                <w:bCs/>
                <w:color w:val="000000"/>
                <w:sz w:val="18"/>
                <w:szCs w:val="18"/>
                <w:lang w:eastAsia="es-CO"/>
              </w:rPr>
            </w:pPr>
            <w:r w:rsidRPr="00903DB6">
              <w:rPr>
                <w:rFonts w:ascii="Times New Roman" w:eastAsia="Times New Roman" w:hAnsi="Times New Roman"/>
                <w:b/>
                <w:bCs/>
                <w:color w:val="000000"/>
                <w:sz w:val="18"/>
                <w:szCs w:val="18"/>
                <w:lang w:eastAsia="es-CO"/>
              </w:rPr>
              <w:t>TOTAL INTERESES DE MORA</w:t>
            </w:r>
          </w:p>
        </w:tc>
        <w:tc>
          <w:tcPr>
            <w:tcW w:w="1685" w:type="dxa"/>
            <w:tcBorders>
              <w:top w:val="single" w:sz="4" w:space="0" w:color="auto"/>
              <w:left w:val="nil"/>
              <w:bottom w:val="single" w:sz="4" w:space="0" w:color="auto"/>
              <w:right w:val="single" w:sz="4" w:space="0" w:color="auto"/>
            </w:tcBorders>
            <w:shd w:val="clear" w:color="000000" w:fill="D9D9D9"/>
            <w:noWrap/>
            <w:hideMark/>
          </w:tcPr>
          <w:p w14:paraId="66E17B01" w14:textId="77777777" w:rsidR="00903DB6" w:rsidRPr="00903DB6" w:rsidRDefault="00903DB6" w:rsidP="00AB4D08">
            <w:pPr>
              <w:spacing w:after="0" w:line="240" w:lineRule="auto"/>
              <w:contextualSpacing/>
              <w:jc w:val="right"/>
              <w:rPr>
                <w:rFonts w:ascii="Times New Roman" w:eastAsia="Times New Roman" w:hAnsi="Times New Roman"/>
                <w:b/>
                <w:bCs/>
                <w:color w:val="000000"/>
                <w:sz w:val="18"/>
                <w:szCs w:val="18"/>
                <w:lang w:eastAsia="es-CO"/>
              </w:rPr>
            </w:pPr>
            <w:r w:rsidRPr="00903DB6">
              <w:rPr>
                <w:rFonts w:ascii="Times New Roman" w:eastAsia="Times New Roman" w:hAnsi="Times New Roman"/>
                <w:b/>
                <w:bCs/>
                <w:color w:val="000000"/>
                <w:sz w:val="18"/>
                <w:szCs w:val="18"/>
                <w:lang w:eastAsia="es-CO"/>
              </w:rPr>
              <w:t>3.982.610.567</w:t>
            </w:r>
          </w:p>
        </w:tc>
      </w:tr>
    </w:tbl>
    <w:p w14:paraId="7DFC9E0E" w14:textId="77777777" w:rsidR="00903DB6" w:rsidRDefault="00903DB6" w:rsidP="00AB4D08">
      <w:pPr>
        <w:spacing w:after="0" w:line="240" w:lineRule="auto"/>
        <w:ind w:left="567"/>
        <w:contextualSpacing/>
        <w:jc w:val="both"/>
        <w:rPr>
          <w:rFonts w:ascii="Times New Roman" w:eastAsia="Arial" w:hAnsi="Times New Roman"/>
          <w:sz w:val="24"/>
          <w:szCs w:val="24"/>
        </w:rPr>
      </w:pPr>
    </w:p>
    <w:p w14:paraId="375828EE" w14:textId="47E5C4C6"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Ing</w:t>
      </w:r>
      <w:r>
        <w:rPr>
          <w:rFonts w:ascii="Times New Roman" w:eastAsia="Arial" w:hAnsi="Times New Roman"/>
          <w:sz w:val="24"/>
          <w:szCs w:val="24"/>
        </w:rPr>
        <w:t>resos c</w:t>
      </w:r>
      <w:r w:rsidRPr="00066893">
        <w:rPr>
          <w:rFonts w:ascii="Times New Roman" w:eastAsia="Arial" w:hAnsi="Times New Roman"/>
          <w:sz w:val="24"/>
          <w:szCs w:val="24"/>
        </w:rPr>
        <w:t>uentas por cobrar</w:t>
      </w:r>
    </w:p>
    <w:p w14:paraId="4C271597" w14:textId="77777777" w:rsidR="00066893" w:rsidRPr="00066893" w:rsidRDefault="00066893" w:rsidP="00AB4D08">
      <w:pPr>
        <w:spacing w:line="240" w:lineRule="auto"/>
        <w:ind w:left="567"/>
        <w:contextualSpacing/>
        <w:jc w:val="both"/>
        <w:rPr>
          <w:rFonts w:ascii="Times New Roman" w:hAnsi="Times New Roman"/>
          <w:sz w:val="24"/>
          <w:szCs w:val="24"/>
        </w:rPr>
      </w:pPr>
      <w:r w:rsidRPr="00066893">
        <w:rPr>
          <w:rFonts w:ascii="Times New Roman" w:hAnsi="Times New Roman"/>
          <w:sz w:val="24"/>
          <w:szCs w:val="24"/>
        </w:rPr>
        <w:t xml:space="preserve"> </w:t>
      </w:r>
    </w:p>
    <w:p w14:paraId="1274279C"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Representa el valor de la reversión de las pérdidas por deterioro de periodos anteriores, afectado principalmente, por el recaudo efectivo de saldos que inicialmente se habían deteriorado y por la cancelación de saldos originados en la gestión realizada en valorización, por actualización de estados de cuenta, por reliquidaciones y de expedientes de reclamación.</w:t>
      </w:r>
    </w:p>
    <w:p w14:paraId="0D2058C7" w14:textId="77777777" w:rsidR="00066893" w:rsidRPr="00066893"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 xml:space="preserve"> </w:t>
      </w:r>
    </w:p>
    <w:p w14:paraId="2CFA7A40" w14:textId="77777777" w:rsidR="00066893" w:rsidRPr="00F236CE" w:rsidRDefault="00066893"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Causado en la vigencia por las cuentas por cobrar por concepto de contribución valorización $903.990.352.26</w:t>
      </w:r>
      <w:r w:rsidRPr="00F236CE">
        <w:rPr>
          <w:rFonts w:ascii="Times New Roman" w:eastAsia="Arial" w:hAnsi="Times New Roman"/>
          <w:sz w:val="24"/>
          <w:szCs w:val="24"/>
        </w:rPr>
        <w:t>.</w:t>
      </w:r>
    </w:p>
    <w:p w14:paraId="30BA6D49" w14:textId="77777777" w:rsidR="00F236CE" w:rsidRDefault="00F236CE" w:rsidP="00AB4D08">
      <w:pPr>
        <w:spacing w:line="240" w:lineRule="auto"/>
        <w:ind w:left="567"/>
        <w:contextualSpacing/>
        <w:jc w:val="both"/>
        <w:rPr>
          <w:rFonts w:ascii="Times New Roman" w:eastAsia="Arial" w:hAnsi="Times New Roman"/>
          <w:sz w:val="24"/>
          <w:szCs w:val="24"/>
        </w:rPr>
      </w:pPr>
    </w:p>
    <w:p w14:paraId="2030A652" w14:textId="4904F70F" w:rsidR="00066893" w:rsidRPr="00F236CE" w:rsidRDefault="00F236CE" w:rsidP="00AB4D08">
      <w:pPr>
        <w:spacing w:line="240" w:lineRule="auto"/>
        <w:ind w:left="567"/>
        <w:contextualSpacing/>
        <w:jc w:val="both"/>
        <w:rPr>
          <w:rFonts w:ascii="Times New Roman" w:eastAsia="Arial" w:hAnsi="Times New Roman"/>
          <w:sz w:val="24"/>
          <w:szCs w:val="24"/>
        </w:rPr>
      </w:pPr>
      <w:r w:rsidRPr="00F236CE">
        <w:rPr>
          <w:rFonts w:ascii="Times New Roman" w:eastAsia="Arial" w:hAnsi="Times New Roman"/>
          <w:sz w:val="24"/>
          <w:szCs w:val="24"/>
        </w:rPr>
        <w:lastRenderedPageBreak/>
        <w:t>Otros ingresos</w:t>
      </w:r>
    </w:p>
    <w:p w14:paraId="6B236C77" w14:textId="77777777" w:rsidR="00F236CE" w:rsidRPr="00F236CE" w:rsidRDefault="00F236CE" w:rsidP="00AB4D08">
      <w:pPr>
        <w:spacing w:line="240" w:lineRule="auto"/>
        <w:ind w:left="567"/>
        <w:contextualSpacing/>
        <w:jc w:val="both"/>
        <w:rPr>
          <w:rFonts w:ascii="Times New Roman" w:eastAsia="Arial" w:hAnsi="Times New Roman"/>
          <w:sz w:val="24"/>
          <w:szCs w:val="24"/>
        </w:rPr>
      </w:pPr>
    </w:p>
    <w:p w14:paraId="325454F1" w14:textId="10DE6188" w:rsidR="00F236CE" w:rsidRDefault="00F236CE" w:rsidP="00AB4D08">
      <w:pPr>
        <w:spacing w:line="240" w:lineRule="auto"/>
        <w:ind w:left="567"/>
        <w:contextualSpacing/>
        <w:jc w:val="both"/>
        <w:rPr>
          <w:rFonts w:ascii="Times New Roman" w:eastAsia="Arial" w:hAnsi="Times New Roman"/>
          <w:sz w:val="24"/>
          <w:szCs w:val="24"/>
        </w:rPr>
      </w:pPr>
      <w:r w:rsidRPr="00F236CE">
        <w:rPr>
          <w:rFonts w:ascii="Times New Roman" w:eastAsia="Arial" w:hAnsi="Times New Roman"/>
          <w:sz w:val="24"/>
          <w:szCs w:val="24"/>
        </w:rPr>
        <w:t>El saldo de otros ingresos a 31 de diciembre de 2019,</w:t>
      </w:r>
      <w:r w:rsidR="00F3282D">
        <w:rPr>
          <w:rFonts w:ascii="Times New Roman" w:eastAsia="Arial" w:hAnsi="Times New Roman"/>
          <w:sz w:val="24"/>
          <w:szCs w:val="24"/>
        </w:rPr>
        <w:t xml:space="preserve"> se detalla a continuación</w:t>
      </w:r>
      <w:r w:rsidRPr="00F236CE">
        <w:rPr>
          <w:rFonts w:ascii="Times New Roman" w:eastAsia="Arial" w:hAnsi="Times New Roman"/>
          <w:sz w:val="24"/>
          <w:szCs w:val="24"/>
        </w:rPr>
        <w:t>:</w:t>
      </w:r>
    </w:p>
    <w:p w14:paraId="61C68FE7" w14:textId="77777777" w:rsidR="00F236CE" w:rsidRDefault="00F236CE" w:rsidP="00AB4D08">
      <w:pPr>
        <w:spacing w:line="240" w:lineRule="auto"/>
        <w:ind w:left="567"/>
        <w:contextualSpacing/>
        <w:jc w:val="both"/>
        <w:rPr>
          <w:rFonts w:ascii="Times New Roman" w:eastAsia="Arial" w:hAnsi="Times New Roman"/>
          <w:sz w:val="24"/>
          <w:szCs w:val="24"/>
        </w:rPr>
      </w:pPr>
    </w:p>
    <w:tbl>
      <w:tblPr>
        <w:tblW w:w="8333" w:type="dxa"/>
        <w:tblInd w:w="552" w:type="dxa"/>
        <w:tblCellMar>
          <w:left w:w="70" w:type="dxa"/>
          <w:right w:w="70" w:type="dxa"/>
        </w:tblCellMar>
        <w:tblLook w:val="04A0" w:firstRow="1" w:lastRow="0" w:firstColumn="1" w:lastColumn="0" w:noHBand="0" w:noVBand="1"/>
      </w:tblPr>
      <w:tblGrid>
        <w:gridCol w:w="4251"/>
        <w:gridCol w:w="2041"/>
        <w:gridCol w:w="2041"/>
      </w:tblGrid>
      <w:tr w:rsidR="00F236CE" w:rsidRPr="00DE155C" w14:paraId="78797950" w14:textId="77777777" w:rsidTr="00E90A32">
        <w:trPr>
          <w:trHeight w:val="498"/>
        </w:trPr>
        <w:tc>
          <w:tcPr>
            <w:tcW w:w="4251" w:type="dxa"/>
            <w:tcBorders>
              <w:top w:val="single" w:sz="4" w:space="0" w:color="auto"/>
              <w:left w:val="single" w:sz="4" w:space="0" w:color="auto"/>
              <w:bottom w:val="single" w:sz="4" w:space="0" w:color="A6A6A6"/>
              <w:right w:val="single" w:sz="4" w:space="0" w:color="A6A6A6"/>
            </w:tcBorders>
            <w:shd w:val="clear" w:color="000000" w:fill="D9D9D9"/>
            <w:vAlign w:val="center"/>
            <w:hideMark/>
          </w:tcPr>
          <w:p w14:paraId="50C5F575" w14:textId="77777777" w:rsidR="00F236CE" w:rsidRPr="00DE155C" w:rsidRDefault="00F236CE" w:rsidP="00AB4D08">
            <w:pPr>
              <w:spacing w:after="0" w:line="240" w:lineRule="auto"/>
              <w:contextualSpacing/>
              <w:jc w:val="center"/>
              <w:rPr>
                <w:rFonts w:ascii="Times New Roman" w:eastAsia="Times New Roman" w:hAnsi="Times New Roman"/>
                <w:b/>
                <w:bCs/>
                <w:lang w:eastAsia="es-CO"/>
              </w:rPr>
            </w:pPr>
            <w:r w:rsidRPr="00DE155C">
              <w:rPr>
                <w:rFonts w:ascii="Times New Roman" w:eastAsia="Times New Roman" w:hAnsi="Times New Roman"/>
                <w:b/>
                <w:bCs/>
                <w:lang w:eastAsia="es-CO"/>
              </w:rPr>
              <w:t>PARTIDA</w:t>
            </w:r>
          </w:p>
        </w:tc>
        <w:tc>
          <w:tcPr>
            <w:tcW w:w="2041" w:type="dxa"/>
            <w:tcBorders>
              <w:top w:val="single" w:sz="4" w:space="0" w:color="auto"/>
              <w:left w:val="nil"/>
              <w:bottom w:val="single" w:sz="4" w:space="0" w:color="A6A6A6"/>
              <w:right w:val="single" w:sz="4" w:space="0" w:color="A6A6A6"/>
            </w:tcBorders>
            <w:shd w:val="clear" w:color="000000" w:fill="D9D9D9"/>
            <w:vAlign w:val="center"/>
            <w:hideMark/>
          </w:tcPr>
          <w:p w14:paraId="55666896" w14:textId="77777777" w:rsidR="00F236CE" w:rsidRPr="00DE155C" w:rsidRDefault="00F236CE" w:rsidP="00AB4D08">
            <w:pPr>
              <w:spacing w:after="0" w:line="240" w:lineRule="auto"/>
              <w:contextualSpacing/>
              <w:jc w:val="center"/>
              <w:rPr>
                <w:rFonts w:ascii="Times New Roman" w:eastAsia="Times New Roman" w:hAnsi="Times New Roman"/>
                <w:b/>
                <w:bCs/>
                <w:lang w:eastAsia="es-CO"/>
              </w:rPr>
            </w:pPr>
            <w:r w:rsidRPr="00DE155C">
              <w:rPr>
                <w:rFonts w:ascii="Times New Roman" w:eastAsia="Times New Roman" w:hAnsi="Times New Roman"/>
                <w:b/>
                <w:bCs/>
                <w:lang w:eastAsia="es-CO"/>
              </w:rPr>
              <w:t>VALOR DEL PERÍODO (2019)</w:t>
            </w:r>
          </w:p>
        </w:tc>
        <w:tc>
          <w:tcPr>
            <w:tcW w:w="2041" w:type="dxa"/>
            <w:tcBorders>
              <w:top w:val="single" w:sz="4" w:space="0" w:color="auto"/>
              <w:left w:val="nil"/>
              <w:bottom w:val="single" w:sz="4" w:space="0" w:color="A6A6A6"/>
              <w:right w:val="single" w:sz="4" w:space="0" w:color="auto"/>
            </w:tcBorders>
            <w:shd w:val="clear" w:color="000000" w:fill="D9D9D9"/>
            <w:vAlign w:val="center"/>
            <w:hideMark/>
          </w:tcPr>
          <w:p w14:paraId="54C72F96" w14:textId="77777777" w:rsidR="00F236CE" w:rsidRPr="00DE155C" w:rsidRDefault="00F236CE" w:rsidP="00AB4D08">
            <w:pPr>
              <w:spacing w:after="0" w:line="240" w:lineRule="auto"/>
              <w:contextualSpacing/>
              <w:jc w:val="center"/>
              <w:rPr>
                <w:rFonts w:ascii="Times New Roman" w:eastAsia="Times New Roman" w:hAnsi="Times New Roman"/>
                <w:b/>
                <w:bCs/>
                <w:lang w:eastAsia="es-CO"/>
              </w:rPr>
            </w:pPr>
            <w:r w:rsidRPr="00DE155C">
              <w:rPr>
                <w:rFonts w:ascii="Times New Roman" w:eastAsia="Times New Roman" w:hAnsi="Times New Roman"/>
                <w:b/>
                <w:bCs/>
                <w:lang w:eastAsia="es-CO"/>
              </w:rPr>
              <w:t>VALOR DEL PERÍODO (2018)</w:t>
            </w:r>
          </w:p>
        </w:tc>
      </w:tr>
      <w:tr w:rsidR="00F236CE" w:rsidRPr="00DE155C" w14:paraId="747B9A6E" w14:textId="77777777" w:rsidTr="00E90A32">
        <w:trPr>
          <w:trHeight w:val="166"/>
        </w:trPr>
        <w:tc>
          <w:tcPr>
            <w:tcW w:w="4251" w:type="dxa"/>
            <w:tcBorders>
              <w:top w:val="nil"/>
              <w:left w:val="single" w:sz="4" w:space="0" w:color="auto"/>
              <w:bottom w:val="single" w:sz="4" w:space="0" w:color="auto"/>
              <w:right w:val="single" w:sz="4" w:space="0" w:color="auto"/>
            </w:tcBorders>
            <w:shd w:val="clear" w:color="auto" w:fill="auto"/>
            <w:noWrap/>
            <w:vAlign w:val="bottom"/>
            <w:hideMark/>
          </w:tcPr>
          <w:p w14:paraId="672FDA83" w14:textId="77777777" w:rsidR="00F236CE" w:rsidRPr="00DE155C" w:rsidRDefault="00F236CE" w:rsidP="00AB4D08">
            <w:pPr>
              <w:spacing w:after="0" w:line="240" w:lineRule="auto"/>
              <w:contextualSpacing/>
              <w:rPr>
                <w:rFonts w:ascii="Times New Roman" w:eastAsia="Times New Roman" w:hAnsi="Times New Roman"/>
                <w:lang w:eastAsia="es-CO"/>
              </w:rPr>
            </w:pPr>
            <w:r w:rsidRPr="00DE155C">
              <w:rPr>
                <w:rFonts w:ascii="Times New Roman" w:eastAsia="Times New Roman" w:hAnsi="Times New Roman"/>
                <w:lang w:eastAsia="es-CO"/>
              </w:rPr>
              <w:t>4802 Financieros</w:t>
            </w:r>
          </w:p>
        </w:tc>
        <w:tc>
          <w:tcPr>
            <w:tcW w:w="2041" w:type="dxa"/>
            <w:tcBorders>
              <w:top w:val="nil"/>
              <w:left w:val="nil"/>
              <w:bottom w:val="single" w:sz="4" w:space="0" w:color="auto"/>
              <w:right w:val="single" w:sz="4" w:space="0" w:color="auto"/>
            </w:tcBorders>
            <w:shd w:val="clear" w:color="auto" w:fill="auto"/>
            <w:vAlign w:val="center"/>
            <w:hideMark/>
          </w:tcPr>
          <w:p w14:paraId="31DEB586"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43.739.797.463</w:t>
            </w:r>
          </w:p>
        </w:tc>
        <w:tc>
          <w:tcPr>
            <w:tcW w:w="2041" w:type="dxa"/>
            <w:tcBorders>
              <w:top w:val="nil"/>
              <w:left w:val="nil"/>
              <w:bottom w:val="single" w:sz="4" w:space="0" w:color="auto"/>
              <w:right w:val="single" w:sz="4" w:space="0" w:color="auto"/>
            </w:tcBorders>
            <w:shd w:val="clear" w:color="auto" w:fill="auto"/>
            <w:vAlign w:val="center"/>
            <w:hideMark/>
          </w:tcPr>
          <w:p w14:paraId="47E698AA"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45.218.463.294</w:t>
            </w:r>
          </w:p>
        </w:tc>
      </w:tr>
      <w:tr w:rsidR="00F236CE" w:rsidRPr="00DE155C" w14:paraId="266268D2" w14:textId="77777777" w:rsidTr="00E90A32">
        <w:trPr>
          <w:trHeight w:val="166"/>
        </w:trPr>
        <w:tc>
          <w:tcPr>
            <w:tcW w:w="4251" w:type="dxa"/>
            <w:tcBorders>
              <w:top w:val="nil"/>
              <w:left w:val="single" w:sz="4" w:space="0" w:color="auto"/>
              <w:bottom w:val="single" w:sz="4" w:space="0" w:color="auto"/>
              <w:right w:val="single" w:sz="4" w:space="0" w:color="auto"/>
            </w:tcBorders>
            <w:shd w:val="clear" w:color="auto" w:fill="auto"/>
            <w:noWrap/>
            <w:vAlign w:val="bottom"/>
            <w:hideMark/>
          </w:tcPr>
          <w:p w14:paraId="44E064A6" w14:textId="77777777" w:rsidR="00F236CE" w:rsidRPr="00DE155C" w:rsidRDefault="00F236CE" w:rsidP="00AB4D08">
            <w:pPr>
              <w:spacing w:after="0" w:line="240" w:lineRule="auto"/>
              <w:contextualSpacing/>
              <w:rPr>
                <w:rFonts w:ascii="Times New Roman" w:eastAsia="Times New Roman" w:hAnsi="Times New Roman"/>
                <w:lang w:eastAsia="es-CO"/>
              </w:rPr>
            </w:pPr>
            <w:r w:rsidRPr="00DE155C">
              <w:rPr>
                <w:rFonts w:ascii="Times New Roman" w:eastAsia="Times New Roman" w:hAnsi="Times New Roman"/>
                <w:lang w:eastAsia="es-CO"/>
              </w:rPr>
              <w:t>4808 Diversos</w:t>
            </w:r>
          </w:p>
        </w:tc>
        <w:tc>
          <w:tcPr>
            <w:tcW w:w="2041" w:type="dxa"/>
            <w:tcBorders>
              <w:top w:val="nil"/>
              <w:left w:val="nil"/>
              <w:bottom w:val="single" w:sz="4" w:space="0" w:color="auto"/>
              <w:right w:val="single" w:sz="4" w:space="0" w:color="auto"/>
            </w:tcBorders>
            <w:shd w:val="clear" w:color="auto" w:fill="auto"/>
            <w:vAlign w:val="center"/>
            <w:hideMark/>
          </w:tcPr>
          <w:p w14:paraId="6F82035A"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18.324.685.128</w:t>
            </w:r>
          </w:p>
        </w:tc>
        <w:tc>
          <w:tcPr>
            <w:tcW w:w="2041" w:type="dxa"/>
            <w:tcBorders>
              <w:top w:val="nil"/>
              <w:left w:val="nil"/>
              <w:bottom w:val="single" w:sz="4" w:space="0" w:color="auto"/>
              <w:right w:val="single" w:sz="4" w:space="0" w:color="auto"/>
            </w:tcBorders>
            <w:shd w:val="clear" w:color="auto" w:fill="auto"/>
            <w:vAlign w:val="center"/>
            <w:hideMark/>
          </w:tcPr>
          <w:p w14:paraId="69C785BC"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247.473.294.337</w:t>
            </w:r>
          </w:p>
        </w:tc>
      </w:tr>
      <w:tr w:rsidR="00F236CE" w:rsidRPr="00DE155C" w14:paraId="61D3125A" w14:textId="77777777" w:rsidTr="00E90A32">
        <w:trPr>
          <w:trHeight w:val="166"/>
        </w:trPr>
        <w:tc>
          <w:tcPr>
            <w:tcW w:w="4251" w:type="dxa"/>
            <w:tcBorders>
              <w:top w:val="nil"/>
              <w:left w:val="single" w:sz="4" w:space="0" w:color="auto"/>
              <w:bottom w:val="single" w:sz="4" w:space="0" w:color="auto"/>
              <w:right w:val="single" w:sz="4" w:space="0" w:color="auto"/>
            </w:tcBorders>
            <w:shd w:val="clear" w:color="auto" w:fill="auto"/>
            <w:noWrap/>
            <w:vAlign w:val="bottom"/>
            <w:hideMark/>
          </w:tcPr>
          <w:p w14:paraId="285C0CDE" w14:textId="77777777" w:rsidR="00F236CE" w:rsidRPr="00DE155C" w:rsidRDefault="00F236CE" w:rsidP="00AB4D08">
            <w:pPr>
              <w:spacing w:after="0" w:line="240" w:lineRule="auto"/>
              <w:contextualSpacing/>
              <w:rPr>
                <w:rFonts w:ascii="Times New Roman" w:eastAsia="Times New Roman" w:hAnsi="Times New Roman"/>
                <w:lang w:eastAsia="es-CO"/>
              </w:rPr>
            </w:pPr>
            <w:r w:rsidRPr="00DE155C">
              <w:rPr>
                <w:rFonts w:ascii="Times New Roman" w:eastAsia="Times New Roman" w:hAnsi="Times New Roman"/>
                <w:lang w:eastAsia="es-CO"/>
              </w:rPr>
              <w:t>4830 Reversión de pérdidas por deterioro de valor</w:t>
            </w:r>
          </w:p>
        </w:tc>
        <w:tc>
          <w:tcPr>
            <w:tcW w:w="2041" w:type="dxa"/>
            <w:tcBorders>
              <w:top w:val="nil"/>
              <w:left w:val="nil"/>
              <w:bottom w:val="single" w:sz="4" w:space="0" w:color="auto"/>
              <w:right w:val="single" w:sz="4" w:space="0" w:color="auto"/>
            </w:tcBorders>
            <w:shd w:val="clear" w:color="auto" w:fill="auto"/>
            <w:vAlign w:val="center"/>
            <w:hideMark/>
          </w:tcPr>
          <w:p w14:paraId="6E666C8C"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4.592.899.013</w:t>
            </w:r>
          </w:p>
        </w:tc>
        <w:tc>
          <w:tcPr>
            <w:tcW w:w="2041" w:type="dxa"/>
            <w:tcBorders>
              <w:top w:val="nil"/>
              <w:left w:val="nil"/>
              <w:bottom w:val="single" w:sz="4" w:space="0" w:color="auto"/>
              <w:right w:val="single" w:sz="4" w:space="0" w:color="auto"/>
            </w:tcBorders>
            <w:shd w:val="clear" w:color="auto" w:fill="auto"/>
            <w:vAlign w:val="center"/>
            <w:hideMark/>
          </w:tcPr>
          <w:p w14:paraId="6A5F3722"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2.301.276.349</w:t>
            </w:r>
          </w:p>
        </w:tc>
      </w:tr>
      <w:tr w:rsidR="00F236CE" w:rsidRPr="00DE155C" w14:paraId="093AD1AC" w14:textId="77777777" w:rsidTr="00E90A32">
        <w:trPr>
          <w:trHeight w:val="166"/>
        </w:trPr>
        <w:tc>
          <w:tcPr>
            <w:tcW w:w="4251" w:type="dxa"/>
            <w:tcBorders>
              <w:top w:val="nil"/>
              <w:left w:val="single" w:sz="4" w:space="0" w:color="auto"/>
              <w:bottom w:val="single" w:sz="4" w:space="0" w:color="auto"/>
              <w:right w:val="single" w:sz="4" w:space="0" w:color="auto"/>
            </w:tcBorders>
            <w:shd w:val="clear" w:color="auto" w:fill="auto"/>
            <w:noWrap/>
            <w:vAlign w:val="bottom"/>
            <w:hideMark/>
          </w:tcPr>
          <w:p w14:paraId="79740253" w14:textId="77777777" w:rsidR="00F236CE" w:rsidRPr="00DE155C" w:rsidRDefault="00F236CE" w:rsidP="00AB4D08">
            <w:pPr>
              <w:spacing w:after="0" w:line="240" w:lineRule="auto"/>
              <w:contextualSpacing/>
              <w:rPr>
                <w:rFonts w:ascii="Times New Roman" w:eastAsia="Times New Roman" w:hAnsi="Times New Roman"/>
                <w:lang w:eastAsia="es-CO"/>
              </w:rPr>
            </w:pPr>
            <w:r w:rsidRPr="00DE155C">
              <w:rPr>
                <w:rFonts w:ascii="Times New Roman" w:eastAsia="Times New Roman" w:hAnsi="Times New Roman"/>
                <w:lang w:eastAsia="es-CO"/>
              </w:rPr>
              <w:t>4806 Ajuste por diferencia en cambio</w:t>
            </w:r>
          </w:p>
        </w:tc>
        <w:tc>
          <w:tcPr>
            <w:tcW w:w="2041" w:type="dxa"/>
            <w:tcBorders>
              <w:top w:val="nil"/>
              <w:left w:val="nil"/>
              <w:bottom w:val="single" w:sz="4" w:space="0" w:color="auto"/>
              <w:right w:val="single" w:sz="4" w:space="0" w:color="auto"/>
            </w:tcBorders>
            <w:shd w:val="clear" w:color="auto" w:fill="auto"/>
            <w:vAlign w:val="center"/>
            <w:hideMark/>
          </w:tcPr>
          <w:p w14:paraId="728A1F1D"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81.338</w:t>
            </w:r>
          </w:p>
        </w:tc>
        <w:tc>
          <w:tcPr>
            <w:tcW w:w="2041" w:type="dxa"/>
            <w:tcBorders>
              <w:top w:val="nil"/>
              <w:left w:val="nil"/>
              <w:bottom w:val="single" w:sz="4" w:space="0" w:color="auto"/>
              <w:right w:val="single" w:sz="4" w:space="0" w:color="auto"/>
            </w:tcBorders>
            <w:shd w:val="clear" w:color="auto" w:fill="auto"/>
            <w:vAlign w:val="center"/>
            <w:hideMark/>
          </w:tcPr>
          <w:p w14:paraId="37D88A34" w14:textId="77777777" w:rsidR="00F236CE" w:rsidRPr="00DE155C" w:rsidRDefault="00F236CE" w:rsidP="00AB4D08">
            <w:pPr>
              <w:spacing w:after="0" w:line="240" w:lineRule="auto"/>
              <w:contextualSpacing/>
              <w:jc w:val="right"/>
              <w:rPr>
                <w:rFonts w:ascii="Times New Roman" w:eastAsia="Times New Roman" w:hAnsi="Times New Roman"/>
                <w:lang w:eastAsia="es-CO"/>
              </w:rPr>
            </w:pPr>
            <w:r w:rsidRPr="00DE155C">
              <w:rPr>
                <w:rFonts w:ascii="Times New Roman" w:eastAsia="Times New Roman" w:hAnsi="Times New Roman"/>
                <w:lang w:eastAsia="es-CO"/>
              </w:rPr>
              <w:t>0</w:t>
            </w:r>
          </w:p>
        </w:tc>
      </w:tr>
      <w:tr w:rsidR="00F236CE" w:rsidRPr="00DE155C" w14:paraId="53E09E3D" w14:textId="77777777" w:rsidTr="00E90A32">
        <w:trPr>
          <w:trHeight w:val="166"/>
        </w:trPr>
        <w:tc>
          <w:tcPr>
            <w:tcW w:w="4251" w:type="dxa"/>
            <w:tcBorders>
              <w:top w:val="single" w:sz="4" w:space="0" w:color="A6A6A6"/>
              <w:left w:val="single" w:sz="4" w:space="0" w:color="auto"/>
              <w:bottom w:val="single" w:sz="4" w:space="0" w:color="auto"/>
              <w:right w:val="single" w:sz="4" w:space="0" w:color="A6A6A6"/>
            </w:tcBorders>
            <w:shd w:val="clear" w:color="auto" w:fill="auto"/>
            <w:vAlign w:val="center"/>
            <w:hideMark/>
          </w:tcPr>
          <w:p w14:paraId="308A72BA" w14:textId="77777777" w:rsidR="00F236CE" w:rsidRPr="00DE155C" w:rsidRDefault="00F236CE" w:rsidP="00AB4D08">
            <w:pPr>
              <w:spacing w:after="0" w:line="240" w:lineRule="auto"/>
              <w:contextualSpacing/>
              <w:jc w:val="center"/>
              <w:rPr>
                <w:rFonts w:ascii="Times New Roman" w:eastAsia="Times New Roman" w:hAnsi="Times New Roman"/>
                <w:b/>
                <w:bCs/>
                <w:lang w:eastAsia="es-CO"/>
              </w:rPr>
            </w:pPr>
            <w:r w:rsidRPr="00DE155C">
              <w:rPr>
                <w:rFonts w:ascii="Times New Roman" w:eastAsia="Times New Roman" w:hAnsi="Times New Roman"/>
                <w:b/>
                <w:bCs/>
                <w:lang w:eastAsia="es-CO"/>
              </w:rPr>
              <w:t>TOTAL INGRESO</w:t>
            </w:r>
          </w:p>
        </w:tc>
        <w:tc>
          <w:tcPr>
            <w:tcW w:w="2041" w:type="dxa"/>
            <w:tcBorders>
              <w:top w:val="nil"/>
              <w:left w:val="single" w:sz="4" w:space="0" w:color="auto"/>
              <w:bottom w:val="single" w:sz="4" w:space="0" w:color="auto"/>
              <w:right w:val="single" w:sz="4" w:space="0" w:color="auto"/>
            </w:tcBorders>
            <w:shd w:val="clear" w:color="auto" w:fill="auto"/>
            <w:vAlign w:val="center"/>
            <w:hideMark/>
          </w:tcPr>
          <w:p w14:paraId="4A6008BC" w14:textId="77777777" w:rsidR="00F236CE" w:rsidRPr="00DE155C" w:rsidRDefault="00F236CE" w:rsidP="00AB4D08">
            <w:pPr>
              <w:spacing w:after="0" w:line="240" w:lineRule="auto"/>
              <w:contextualSpacing/>
              <w:jc w:val="right"/>
              <w:rPr>
                <w:rFonts w:ascii="Times New Roman" w:eastAsia="Times New Roman" w:hAnsi="Times New Roman"/>
                <w:b/>
                <w:bCs/>
                <w:lang w:eastAsia="es-CO"/>
              </w:rPr>
            </w:pPr>
            <w:r w:rsidRPr="00DE155C">
              <w:rPr>
                <w:rFonts w:ascii="Times New Roman" w:eastAsia="Times New Roman" w:hAnsi="Times New Roman"/>
                <w:b/>
                <w:bCs/>
                <w:lang w:eastAsia="es-CO"/>
              </w:rPr>
              <w:t>66.657.462.942</w:t>
            </w:r>
          </w:p>
        </w:tc>
        <w:tc>
          <w:tcPr>
            <w:tcW w:w="2041" w:type="dxa"/>
            <w:tcBorders>
              <w:top w:val="nil"/>
              <w:left w:val="nil"/>
              <w:bottom w:val="single" w:sz="4" w:space="0" w:color="auto"/>
              <w:right w:val="single" w:sz="4" w:space="0" w:color="auto"/>
            </w:tcBorders>
            <w:shd w:val="clear" w:color="auto" w:fill="auto"/>
            <w:vAlign w:val="center"/>
            <w:hideMark/>
          </w:tcPr>
          <w:p w14:paraId="613BF2DB" w14:textId="77777777" w:rsidR="00F236CE" w:rsidRPr="00DE155C" w:rsidRDefault="00F236CE" w:rsidP="00AB4D08">
            <w:pPr>
              <w:spacing w:after="0" w:line="240" w:lineRule="auto"/>
              <w:contextualSpacing/>
              <w:jc w:val="right"/>
              <w:rPr>
                <w:rFonts w:ascii="Times New Roman" w:eastAsia="Times New Roman" w:hAnsi="Times New Roman"/>
                <w:b/>
                <w:bCs/>
                <w:lang w:eastAsia="es-CO"/>
              </w:rPr>
            </w:pPr>
            <w:r w:rsidRPr="00DE155C">
              <w:rPr>
                <w:rFonts w:ascii="Times New Roman" w:eastAsia="Times New Roman" w:hAnsi="Times New Roman"/>
                <w:b/>
                <w:bCs/>
                <w:lang w:eastAsia="es-CO"/>
              </w:rPr>
              <w:t>294.993.033.980</w:t>
            </w:r>
          </w:p>
        </w:tc>
      </w:tr>
    </w:tbl>
    <w:p w14:paraId="4D304B4F" w14:textId="77777777" w:rsidR="00F236CE" w:rsidRPr="00066893" w:rsidRDefault="00F236CE" w:rsidP="00AB4D08">
      <w:pPr>
        <w:spacing w:line="240" w:lineRule="auto"/>
        <w:ind w:left="567"/>
        <w:contextualSpacing/>
        <w:jc w:val="both"/>
        <w:rPr>
          <w:rFonts w:ascii="Times New Roman" w:eastAsia="Arial" w:hAnsi="Times New Roman"/>
          <w:b/>
          <w:sz w:val="24"/>
          <w:szCs w:val="24"/>
        </w:rPr>
      </w:pPr>
    </w:p>
    <w:p w14:paraId="6188D248" w14:textId="77777777" w:rsidR="00306ACC" w:rsidRDefault="00306ACC" w:rsidP="00AB4D08">
      <w:pPr>
        <w:spacing w:after="0" w:line="240" w:lineRule="auto"/>
        <w:ind w:left="567"/>
        <w:contextualSpacing/>
        <w:jc w:val="both"/>
        <w:rPr>
          <w:rFonts w:ascii="Times New Roman" w:eastAsia="Arial" w:hAnsi="Times New Roman"/>
          <w:sz w:val="24"/>
          <w:szCs w:val="24"/>
        </w:rPr>
      </w:pPr>
    </w:p>
    <w:p w14:paraId="6700C844" w14:textId="5120763B" w:rsidR="00095664" w:rsidRPr="0099011D" w:rsidRDefault="00557DF9" w:rsidP="00AB4D08">
      <w:pPr>
        <w:pStyle w:val="Ttulo1"/>
        <w:contextualSpacing/>
        <w:rPr>
          <w:rFonts w:cs="Times New Roman"/>
          <w:sz w:val="24"/>
          <w:szCs w:val="24"/>
        </w:rPr>
      </w:pPr>
      <w:bookmarkStart w:id="85" w:name="_Toc32317295"/>
      <w:r w:rsidRPr="0099011D">
        <w:rPr>
          <w:rFonts w:cs="Times New Roman"/>
          <w:sz w:val="24"/>
          <w:szCs w:val="24"/>
        </w:rPr>
        <w:t xml:space="preserve">NOTA </w:t>
      </w:r>
      <w:r w:rsidR="00610ED2" w:rsidRPr="0099011D">
        <w:rPr>
          <w:rFonts w:cs="Times New Roman"/>
          <w:sz w:val="24"/>
          <w:szCs w:val="24"/>
        </w:rPr>
        <w:t>2</w:t>
      </w:r>
      <w:r w:rsidR="00C24DF5" w:rsidRPr="0099011D">
        <w:rPr>
          <w:rFonts w:cs="Times New Roman"/>
          <w:sz w:val="24"/>
          <w:szCs w:val="24"/>
        </w:rPr>
        <w:t>9</w:t>
      </w:r>
      <w:r w:rsidRPr="0099011D">
        <w:rPr>
          <w:rFonts w:cs="Times New Roman"/>
          <w:sz w:val="24"/>
          <w:szCs w:val="24"/>
        </w:rPr>
        <w:t>. GASTOS</w:t>
      </w:r>
      <w:bookmarkEnd w:id="85"/>
    </w:p>
    <w:p w14:paraId="05ECD111" w14:textId="77777777" w:rsidR="00D04DF7" w:rsidRPr="0099011D" w:rsidRDefault="00D04DF7" w:rsidP="00AB4D08">
      <w:pPr>
        <w:spacing w:after="0" w:line="240" w:lineRule="auto"/>
        <w:contextualSpacing/>
        <w:jc w:val="both"/>
        <w:rPr>
          <w:rFonts w:ascii="Times New Roman" w:hAnsi="Times New Roman"/>
          <w:b/>
          <w:sz w:val="24"/>
          <w:szCs w:val="24"/>
        </w:rPr>
      </w:pPr>
    </w:p>
    <w:p w14:paraId="691D26BB" w14:textId="713682A9" w:rsidR="00D04DF7" w:rsidRPr="0099011D" w:rsidRDefault="00D04DF7" w:rsidP="00AB4D08">
      <w:pPr>
        <w:pStyle w:val="Ttulo2"/>
        <w:numPr>
          <w:ilvl w:val="0"/>
          <w:numId w:val="0"/>
        </w:numPr>
        <w:spacing w:line="240" w:lineRule="auto"/>
        <w:contextualSpacing/>
        <w:rPr>
          <w:rFonts w:cs="Times New Roman"/>
          <w:szCs w:val="24"/>
        </w:rPr>
      </w:pPr>
      <w:bookmarkStart w:id="86" w:name="_Toc32317296"/>
      <w:r w:rsidRPr="0099011D">
        <w:rPr>
          <w:rFonts w:cs="Times New Roman"/>
          <w:szCs w:val="24"/>
        </w:rPr>
        <w:t>Composición</w:t>
      </w:r>
      <w:bookmarkEnd w:id="86"/>
    </w:p>
    <w:p w14:paraId="66125362" w14:textId="77777777" w:rsidR="00D04DF7" w:rsidRPr="0099011D" w:rsidRDefault="00D04DF7" w:rsidP="00AB4D08">
      <w:pPr>
        <w:pStyle w:val="Prrafodelista"/>
        <w:spacing w:after="0" w:line="240" w:lineRule="auto"/>
        <w:jc w:val="both"/>
        <w:rPr>
          <w:rFonts w:ascii="Times New Roman" w:hAnsi="Times New Roman"/>
          <w:sz w:val="24"/>
          <w:szCs w:val="24"/>
          <w:u w:val="single"/>
        </w:rPr>
      </w:pPr>
    </w:p>
    <w:p w14:paraId="6815C5CB" w14:textId="539F881E" w:rsidR="00D04DF7" w:rsidRPr="0099011D" w:rsidRDefault="00121030" w:rsidP="00AB4D08">
      <w:pPr>
        <w:pStyle w:val="Ttulo2"/>
        <w:numPr>
          <w:ilvl w:val="1"/>
          <w:numId w:val="37"/>
        </w:numPr>
        <w:spacing w:line="240" w:lineRule="auto"/>
        <w:ind w:left="567" w:hanging="567"/>
        <w:contextualSpacing/>
        <w:rPr>
          <w:rFonts w:cs="Times New Roman"/>
          <w:szCs w:val="24"/>
        </w:rPr>
      </w:pPr>
      <w:bookmarkStart w:id="87" w:name="_Toc32317297"/>
      <w:r>
        <w:rPr>
          <w:rFonts w:cs="Times New Roman"/>
          <w:szCs w:val="24"/>
        </w:rPr>
        <w:t>Gastos de administración y</w:t>
      </w:r>
      <w:r w:rsidR="00D04DF7" w:rsidRPr="0099011D">
        <w:rPr>
          <w:rFonts w:cs="Times New Roman"/>
          <w:szCs w:val="24"/>
        </w:rPr>
        <w:t xml:space="preserve"> de operación</w:t>
      </w:r>
      <w:bookmarkEnd w:id="87"/>
    </w:p>
    <w:p w14:paraId="2651EBDE" w14:textId="77777777" w:rsidR="00D04DF7" w:rsidRDefault="00D04DF7" w:rsidP="00AB4D08">
      <w:pPr>
        <w:spacing w:after="0" w:line="240" w:lineRule="auto"/>
        <w:ind w:left="720"/>
        <w:contextualSpacing/>
        <w:jc w:val="both"/>
        <w:rPr>
          <w:rFonts w:ascii="Times New Roman" w:hAnsi="Times New Roman"/>
          <w:sz w:val="24"/>
          <w:szCs w:val="24"/>
        </w:rPr>
      </w:pPr>
    </w:p>
    <w:p w14:paraId="4ED0C4A8" w14:textId="338D72BC" w:rsidR="0099011D" w:rsidRDefault="002D2825"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Con corte a 31 de diciembre de 2019, los gastos se componen así:</w:t>
      </w:r>
    </w:p>
    <w:p w14:paraId="7E71DF0D" w14:textId="77777777" w:rsidR="00E90A32" w:rsidRDefault="00E90A32" w:rsidP="00AB4D08">
      <w:pPr>
        <w:spacing w:after="0" w:line="240" w:lineRule="auto"/>
        <w:ind w:left="567"/>
        <w:contextualSpacing/>
        <w:jc w:val="both"/>
        <w:rPr>
          <w:rFonts w:ascii="Times New Roman" w:eastAsia="Arial" w:hAnsi="Times New Roman"/>
          <w:sz w:val="24"/>
          <w:szCs w:val="24"/>
        </w:rPr>
      </w:pPr>
    </w:p>
    <w:tbl>
      <w:tblPr>
        <w:tblW w:w="8564" w:type="dxa"/>
        <w:tblCellMar>
          <w:left w:w="70" w:type="dxa"/>
          <w:right w:w="70" w:type="dxa"/>
        </w:tblCellMar>
        <w:tblLook w:val="04A0" w:firstRow="1" w:lastRow="0" w:firstColumn="1" w:lastColumn="0" w:noHBand="0" w:noVBand="1"/>
      </w:tblPr>
      <w:tblGrid>
        <w:gridCol w:w="3885"/>
        <w:gridCol w:w="1345"/>
        <w:gridCol w:w="1364"/>
        <w:gridCol w:w="1140"/>
        <w:gridCol w:w="833"/>
      </w:tblGrid>
      <w:tr w:rsidR="002D2825" w:rsidRPr="002D2825" w14:paraId="1309D4D8" w14:textId="77777777" w:rsidTr="00E90A32">
        <w:trPr>
          <w:trHeight w:val="257"/>
        </w:trPr>
        <w:tc>
          <w:tcPr>
            <w:tcW w:w="38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0485CF" w14:textId="77777777" w:rsidR="002D2825" w:rsidRPr="002D2825" w:rsidRDefault="002D2825" w:rsidP="00AB4D08">
            <w:pPr>
              <w:spacing w:after="0" w:line="240" w:lineRule="auto"/>
              <w:contextualSpacing/>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GASTOS DE ADMINISTRACION Y OPERACIÓN</w:t>
            </w:r>
          </w:p>
        </w:tc>
        <w:tc>
          <w:tcPr>
            <w:tcW w:w="1345" w:type="dxa"/>
            <w:tcBorders>
              <w:top w:val="single" w:sz="4" w:space="0" w:color="auto"/>
              <w:left w:val="nil"/>
              <w:bottom w:val="single" w:sz="4" w:space="0" w:color="auto"/>
              <w:right w:val="single" w:sz="4" w:space="0" w:color="auto"/>
            </w:tcBorders>
            <w:shd w:val="clear" w:color="000000" w:fill="D9D9D9"/>
            <w:noWrap/>
            <w:vAlign w:val="center"/>
            <w:hideMark/>
          </w:tcPr>
          <w:p w14:paraId="5F8E1044" w14:textId="77777777" w:rsidR="002D2825" w:rsidRPr="002D2825" w:rsidRDefault="002D2825" w:rsidP="00AB4D08">
            <w:pPr>
              <w:spacing w:after="0" w:line="240" w:lineRule="auto"/>
              <w:contextualSpacing/>
              <w:jc w:val="center"/>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2019</w:t>
            </w:r>
          </w:p>
        </w:tc>
        <w:tc>
          <w:tcPr>
            <w:tcW w:w="1364" w:type="dxa"/>
            <w:tcBorders>
              <w:top w:val="single" w:sz="4" w:space="0" w:color="auto"/>
              <w:left w:val="nil"/>
              <w:bottom w:val="single" w:sz="4" w:space="0" w:color="auto"/>
              <w:right w:val="single" w:sz="4" w:space="0" w:color="auto"/>
            </w:tcBorders>
            <w:shd w:val="clear" w:color="000000" w:fill="D9D9D9"/>
            <w:noWrap/>
            <w:vAlign w:val="center"/>
            <w:hideMark/>
          </w:tcPr>
          <w:p w14:paraId="6812F824" w14:textId="77777777" w:rsidR="002D2825" w:rsidRPr="002D2825" w:rsidRDefault="002D2825" w:rsidP="00AB4D08">
            <w:pPr>
              <w:spacing w:after="0" w:line="240" w:lineRule="auto"/>
              <w:contextualSpacing/>
              <w:jc w:val="center"/>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2018</w:t>
            </w:r>
          </w:p>
        </w:tc>
        <w:tc>
          <w:tcPr>
            <w:tcW w:w="1137" w:type="dxa"/>
            <w:tcBorders>
              <w:top w:val="single" w:sz="4" w:space="0" w:color="auto"/>
              <w:left w:val="nil"/>
              <w:bottom w:val="single" w:sz="4" w:space="0" w:color="auto"/>
              <w:right w:val="single" w:sz="4" w:space="0" w:color="auto"/>
            </w:tcBorders>
            <w:shd w:val="clear" w:color="000000" w:fill="D9D9D9"/>
            <w:noWrap/>
            <w:vAlign w:val="center"/>
            <w:hideMark/>
          </w:tcPr>
          <w:p w14:paraId="3AC65C16" w14:textId="77777777" w:rsidR="002D2825" w:rsidRPr="002D2825" w:rsidRDefault="002D2825" w:rsidP="00AB4D08">
            <w:pPr>
              <w:spacing w:after="0" w:line="240" w:lineRule="auto"/>
              <w:contextualSpacing/>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VARIACION</w:t>
            </w:r>
          </w:p>
        </w:tc>
        <w:tc>
          <w:tcPr>
            <w:tcW w:w="833" w:type="dxa"/>
            <w:tcBorders>
              <w:top w:val="single" w:sz="4" w:space="0" w:color="auto"/>
              <w:left w:val="nil"/>
              <w:bottom w:val="single" w:sz="4" w:space="0" w:color="auto"/>
              <w:right w:val="single" w:sz="4" w:space="0" w:color="auto"/>
            </w:tcBorders>
            <w:shd w:val="clear" w:color="000000" w:fill="D9D9D9"/>
            <w:noWrap/>
            <w:vAlign w:val="center"/>
            <w:hideMark/>
          </w:tcPr>
          <w:p w14:paraId="66C79E1E" w14:textId="77777777" w:rsidR="002D2825" w:rsidRPr="002D2825" w:rsidRDefault="002D2825" w:rsidP="00AB4D08">
            <w:pPr>
              <w:spacing w:after="0" w:line="240" w:lineRule="auto"/>
              <w:contextualSpacing/>
              <w:jc w:val="center"/>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VAR%</w:t>
            </w:r>
          </w:p>
        </w:tc>
      </w:tr>
      <w:tr w:rsidR="002D2825" w:rsidRPr="002D2825" w14:paraId="7BDAA644"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7B37242D"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SUELDOS Y SALARIOS</w:t>
            </w:r>
          </w:p>
        </w:tc>
        <w:tc>
          <w:tcPr>
            <w:tcW w:w="1345" w:type="dxa"/>
            <w:tcBorders>
              <w:top w:val="nil"/>
              <w:left w:val="nil"/>
              <w:bottom w:val="single" w:sz="4" w:space="0" w:color="auto"/>
              <w:right w:val="single" w:sz="4" w:space="0" w:color="auto"/>
            </w:tcBorders>
            <w:shd w:val="clear" w:color="auto" w:fill="auto"/>
            <w:noWrap/>
            <w:vAlign w:val="center"/>
            <w:hideMark/>
          </w:tcPr>
          <w:p w14:paraId="0D73DE04"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26.680.163.738</w:t>
            </w:r>
          </w:p>
        </w:tc>
        <w:tc>
          <w:tcPr>
            <w:tcW w:w="1364" w:type="dxa"/>
            <w:tcBorders>
              <w:top w:val="nil"/>
              <w:left w:val="nil"/>
              <w:bottom w:val="single" w:sz="4" w:space="0" w:color="auto"/>
              <w:right w:val="single" w:sz="4" w:space="0" w:color="auto"/>
            </w:tcBorders>
            <w:shd w:val="clear" w:color="auto" w:fill="auto"/>
            <w:noWrap/>
            <w:vAlign w:val="center"/>
            <w:hideMark/>
          </w:tcPr>
          <w:p w14:paraId="3119091C"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25.614.782.134</w:t>
            </w:r>
          </w:p>
        </w:tc>
        <w:tc>
          <w:tcPr>
            <w:tcW w:w="1137" w:type="dxa"/>
            <w:tcBorders>
              <w:top w:val="nil"/>
              <w:left w:val="nil"/>
              <w:bottom w:val="single" w:sz="4" w:space="0" w:color="auto"/>
              <w:right w:val="single" w:sz="4" w:space="0" w:color="auto"/>
            </w:tcBorders>
            <w:shd w:val="clear" w:color="auto" w:fill="auto"/>
            <w:noWrap/>
            <w:vAlign w:val="center"/>
            <w:hideMark/>
          </w:tcPr>
          <w:p w14:paraId="287F3FDB"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1.065.381.604</w:t>
            </w:r>
          </w:p>
        </w:tc>
        <w:tc>
          <w:tcPr>
            <w:tcW w:w="833" w:type="dxa"/>
            <w:tcBorders>
              <w:top w:val="nil"/>
              <w:left w:val="nil"/>
              <w:bottom w:val="single" w:sz="4" w:space="0" w:color="auto"/>
              <w:right w:val="single" w:sz="4" w:space="0" w:color="auto"/>
            </w:tcBorders>
            <w:shd w:val="clear" w:color="auto" w:fill="auto"/>
            <w:noWrap/>
            <w:vAlign w:val="center"/>
            <w:hideMark/>
          </w:tcPr>
          <w:p w14:paraId="34C16F61"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4,16%</w:t>
            </w:r>
          </w:p>
        </w:tc>
      </w:tr>
      <w:tr w:rsidR="002D2825" w:rsidRPr="002D2825" w14:paraId="150986FB"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0E296A3B"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CONTRIBUCIONES EFECTIVAS</w:t>
            </w:r>
          </w:p>
        </w:tc>
        <w:tc>
          <w:tcPr>
            <w:tcW w:w="1345" w:type="dxa"/>
            <w:tcBorders>
              <w:top w:val="nil"/>
              <w:left w:val="nil"/>
              <w:bottom w:val="single" w:sz="4" w:space="0" w:color="auto"/>
              <w:right w:val="single" w:sz="4" w:space="0" w:color="auto"/>
            </w:tcBorders>
            <w:shd w:val="clear" w:color="auto" w:fill="auto"/>
            <w:noWrap/>
            <w:vAlign w:val="center"/>
            <w:hideMark/>
          </w:tcPr>
          <w:p w14:paraId="65DCFFB8"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8.656.322.786</w:t>
            </w:r>
          </w:p>
        </w:tc>
        <w:tc>
          <w:tcPr>
            <w:tcW w:w="1364" w:type="dxa"/>
            <w:tcBorders>
              <w:top w:val="nil"/>
              <w:left w:val="nil"/>
              <w:bottom w:val="single" w:sz="4" w:space="0" w:color="auto"/>
              <w:right w:val="single" w:sz="4" w:space="0" w:color="auto"/>
            </w:tcBorders>
            <w:shd w:val="clear" w:color="auto" w:fill="auto"/>
            <w:noWrap/>
            <w:vAlign w:val="center"/>
            <w:hideMark/>
          </w:tcPr>
          <w:p w14:paraId="6A4B2F13"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8.133.719.395</w:t>
            </w:r>
          </w:p>
        </w:tc>
        <w:tc>
          <w:tcPr>
            <w:tcW w:w="1137" w:type="dxa"/>
            <w:tcBorders>
              <w:top w:val="nil"/>
              <w:left w:val="nil"/>
              <w:bottom w:val="single" w:sz="4" w:space="0" w:color="auto"/>
              <w:right w:val="single" w:sz="4" w:space="0" w:color="auto"/>
            </w:tcBorders>
            <w:shd w:val="clear" w:color="auto" w:fill="auto"/>
            <w:noWrap/>
            <w:vAlign w:val="center"/>
            <w:hideMark/>
          </w:tcPr>
          <w:p w14:paraId="6159E80F"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522.603.391</w:t>
            </w:r>
          </w:p>
        </w:tc>
        <w:tc>
          <w:tcPr>
            <w:tcW w:w="833" w:type="dxa"/>
            <w:tcBorders>
              <w:top w:val="nil"/>
              <w:left w:val="nil"/>
              <w:bottom w:val="single" w:sz="4" w:space="0" w:color="auto"/>
              <w:right w:val="single" w:sz="4" w:space="0" w:color="auto"/>
            </w:tcBorders>
            <w:shd w:val="clear" w:color="auto" w:fill="auto"/>
            <w:noWrap/>
            <w:vAlign w:val="center"/>
            <w:hideMark/>
          </w:tcPr>
          <w:p w14:paraId="51286077"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6,43%</w:t>
            </w:r>
          </w:p>
        </w:tc>
      </w:tr>
      <w:tr w:rsidR="002D2825" w:rsidRPr="002D2825" w14:paraId="3D999079"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298C052E"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APORTES SOBRE LA NÓMINA</w:t>
            </w:r>
          </w:p>
        </w:tc>
        <w:tc>
          <w:tcPr>
            <w:tcW w:w="1345" w:type="dxa"/>
            <w:tcBorders>
              <w:top w:val="nil"/>
              <w:left w:val="nil"/>
              <w:bottom w:val="single" w:sz="4" w:space="0" w:color="auto"/>
              <w:right w:val="single" w:sz="4" w:space="0" w:color="auto"/>
            </w:tcBorders>
            <w:shd w:val="clear" w:color="auto" w:fill="auto"/>
            <w:noWrap/>
            <w:vAlign w:val="center"/>
            <w:hideMark/>
          </w:tcPr>
          <w:p w14:paraId="7BAF7FD0"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1.671.436.600</w:t>
            </w:r>
          </w:p>
        </w:tc>
        <w:tc>
          <w:tcPr>
            <w:tcW w:w="1364" w:type="dxa"/>
            <w:tcBorders>
              <w:top w:val="nil"/>
              <w:left w:val="nil"/>
              <w:bottom w:val="single" w:sz="4" w:space="0" w:color="auto"/>
              <w:right w:val="single" w:sz="4" w:space="0" w:color="auto"/>
            </w:tcBorders>
            <w:shd w:val="clear" w:color="auto" w:fill="auto"/>
            <w:noWrap/>
            <w:vAlign w:val="center"/>
            <w:hideMark/>
          </w:tcPr>
          <w:p w14:paraId="16C7410E"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1.598.744.100</w:t>
            </w:r>
          </w:p>
        </w:tc>
        <w:tc>
          <w:tcPr>
            <w:tcW w:w="1137" w:type="dxa"/>
            <w:tcBorders>
              <w:top w:val="nil"/>
              <w:left w:val="nil"/>
              <w:bottom w:val="single" w:sz="4" w:space="0" w:color="auto"/>
              <w:right w:val="single" w:sz="4" w:space="0" w:color="auto"/>
            </w:tcBorders>
            <w:shd w:val="clear" w:color="auto" w:fill="auto"/>
            <w:noWrap/>
            <w:vAlign w:val="center"/>
            <w:hideMark/>
          </w:tcPr>
          <w:p w14:paraId="75177E8A"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72.692.500</w:t>
            </w:r>
          </w:p>
        </w:tc>
        <w:tc>
          <w:tcPr>
            <w:tcW w:w="833" w:type="dxa"/>
            <w:tcBorders>
              <w:top w:val="nil"/>
              <w:left w:val="nil"/>
              <w:bottom w:val="single" w:sz="4" w:space="0" w:color="auto"/>
              <w:right w:val="single" w:sz="4" w:space="0" w:color="auto"/>
            </w:tcBorders>
            <w:shd w:val="clear" w:color="auto" w:fill="auto"/>
            <w:noWrap/>
            <w:vAlign w:val="center"/>
            <w:hideMark/>
          </w:tcPr>
          <w:p w14:paraId="215E66C6"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4,55%</w:t>
            </w:r>
          </w:p>
        </w:tc>
      </w:tr>
      <w:tr w:rsidR="002D2825" w:rsidRPr="002D2825" w14:paraId="11AD5F90"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474843EE"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PRESTACIONES SOCIALES</w:t>
            </w:r>
          </w:p>
        </w:tc>
        <w:tc>
          <w:tcPr>
            <w:tcW w:w="1345" w:type="dxa"/>
            <w:tcBorders>
              <w:top w:val="nil"/>
              <w:left w:val="nil"/>
              <w:bottom w:val="single" w:sz="4" w:space="0" w:color="auto"/>
              <w:right w:val="single" w:sz="4" w:space="0" w:color="auto"/>
            </w:tcBorders>
            <w:shd w:val="clear" w:color="auto" w:fill="auto"/>
            <w:noWrap/>
            <w:vAlign w:val="center"/>
            <w:hideMark/>
          </w:tcPr>
          <w:p w14:paraId="3A62D05C"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14.355.915.888</w:t>
            </w:r>
          </w:p>
        </w:tc>
        <w:tc>
          <w:tcPr>
            <w:tcW w:w="1364" w:type="dxa"/>
            <w:tcBorders>
              <w:top w:val="nil"/>
              <w:left w:val="nil"/>
              <w:bottom w:val="single" w:sz="4" w:space="0" w:color="auto"/>
              <w:right w:val="single" w:sz="4" w:space="0" w:color="auto"/>
            </w:tcBorders>
            <w:shd w:val="clear" w:color="auto" w:fill="auto"/>
            <w:noWrap/>
            <w:vAlign w:val="center"/>
            <w:hideMark/>
          </w:tcPr>
          <w:p w14:paraId="7BE03D86"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12.798.452.921</w:t>
            </w:r>
          </w:p>
        </w:tc>
        <w:tc>
          <w:tcPr>
            <w:tcW w:w="1137" w:type="dxa"/>
            <w:tcBorders>
              <w:top w:val="nil"/>
              <w:left w:val="nil"/>
              <w:bottom w:val="single" w:sz="4" w:space="0" w:color="auto"/>
              <w:right w:val="single" w:sz="4" w:space="0" w:color="auto"/>
            </w:tcBorders>
            <w:shd w:val="clear" w:color="auto" w:fill="auto"/>
            <w:noWrap/>
            <w:vAlign w:val="center"/>
            <w:hideMark/>
          </w:tcPr>
          <w:p w14:paraId="64A5314B"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1.557.462.967</w:t>
            </w:r>
          </w:p>
        </w:tc>
        <w:tc>
          <w:tcPr>
            <w:tcW w:w="833" w:type="dxa"/>
            <w:tcBorders>
              <w:top w:val="nil"/>
              <w:left w:val="nil"/>
              <w:bottom w:val="single" w:sz="4" w:space="0" w:color="auto"/>
              <w:right w:val="single" w:sz="4" w:space="0" w:color="auto"/>
            </w:tcBorders>
            <w:shd w:val="clear" w:color="auto" w:fill="auto"/>
            <w:noWrap/>
            <w:vAlign w:val="center"/>
            <w:hideMark/>
          </w:tcPr>
          <w:p w14:paraId="3060EE94"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12,17%</w:t>
            </w:r>
          </w:p>
        </w:tc>
      </w:tr>
      <w:tr w:rsidR="002D2825" w:rsidRPr="002D2825" w14:paraId="55D83E72"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4337C8D7"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GASTOS DE PERSONAL DIVERSOS</w:t>
            </w:r>
          </w:p>
        </w:tc>
        <w:tc>
          <w:tcPr>
            <w:tcW w:w="1345" w:type="dxa"/>
            <w:tcBorders>
              <w:top w:val="nil"/>
              <w:left w:val="nil"/>
              <w:bottom w:val="single" w:sz="4" w:space="0" w:color="auto"/>
              <w:right w:val="single" w:sz="4" w:space="0" w:color="auto"/>
            </w:tcBorders>
            <w:shd w:val="clear" w:color="auto" w:fill="auto"/>
            <w:noWrap/>
            <w:vAlign w:val="center"/>
            <w:hideMark/>
          </w:tcPr>
          <w:p w14:paraId="4E20BC6B"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1.322.286.217</w:t>
            </w:r>
          </w:p>
        </w:tc>
        <w:tc>
          <w:tcPr>
            <w:tcW w:w="1364" w:type="dxa"/>
            <w:tcBorders>
              <w:top w:val="nil"/>
              <w:left w:val="nil"/>
              <w:bottom w:val="single" w:sz="4" w:space="0" w:color="auto"/>
              <w:right w:val="single" w:sz="4" w:space="0" w:color="auto"/>
            </w:tcBorders>
            <w:shd w:val="clear" w:color="auto" w:fill="auto"/>
            <w:noWrap/>
            <w:vAlign w:val="center"/>
            <w:hideMark/>
          </w:tcPr>
          <w:p w14:paraId="58E92651"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1.804.420.997</w:t>
            </w:r>
          </w:p>
        </w:tc>
        <w:tc>
          <w:tcPr>
            <w:tcW w:w="1137" w:type="dxa"/>
            <w:tcBorders>
              <w:top w:val="nil"/>
              <w:left w:val="nil"/>
              <w:bottom w:val="single" w:sz="4" w:space="0" w:color="auto"/>
              <w:right w:val="single" w:sz="4" w:space="0" w:color="auto"/>
            </w:tcBorders>
            <w:shd w:val="clear" w:color="auto" w:fill="auto"/>
            <w:noWrap/>
            <w:vAlign w:val="center"/>
            <w:hideMark/>
          </w:tcPr>
          <w:p w14:paraId="036FDC47"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-482.134.780</w:t>
            </w:r>
          </w:p>
        </w:tc>
        <w:tc>
          <w:tcPr>
            <w:tcW w:w="833" w:type="dxa"/>
            <w:tcBorders>
              <w:top w:val="nil"/>
              <w:left w:val="nil"/>
              <w:bottom w:val="single" w:sz="4" w:space="0" w:color="auto"/>
              <w:right w:val="single" w:sz="4" w:space="0" w:color="auto"/>
            </w:tcBorders>
            <w:shd w:val="clear" w:color="auto" w:fill="auto"/>
            <w:noWrap/>
            <w:vAlign w:val="center"/>
            <w:hideMark/>
          </w:tcPr>
          <w:p w14:paraId="75624404"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-26,72%</w:t>
            </w:r>
          </w:p>
        </w:tc>
      </w:tr>
      <w:tr w:rsidR="002D2825" w:rsidRPr="002D2825" w14:paraId="6BDEBE4B"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63E071F4"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GENERALES</w:t>
            </w:r>
          </w:p>
        </w:tc>
        <w:tc>
          <w:tcPr>
            <w:tcW w:w="1345" w:type="dxa"/>
            <w:tcBorders>
              <w:top w:val="nil"/>
              <w:left w:val="nil"/>
              <w:bottom w:val="single" w:sz="4" w:space="0" w:color="auto"/>
              <w:right w:val="single" w:sz="4" w:space="0" w:color="auto"/>
            </w:tcBorders>
            <w:shd w:val="clear" w:color="auto" w:fill="auto"/>
            <w:noWrap/>
            <w:vAlign w:val="center"/>
            <w:hideMark/>
          </w:tcPr>
          <w:p w14:paraId="348095FA"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129.941.185.594</w:t>
            </w:r>
          </w:p>
        </w:tc>
        <w:tc>
          <w:tcPr>
            <w:tcW w:w="1364" w:type="dxa"/>
            <w:tcBorders>
              <w:top w:val="nil"/>
              <w:left w:val="nil"/>
              <w:bottom w:val="single" w:sz="4" w:space="0" w:color="auto"/>
              <w:right w:val="single" w:sz="4" w:space="0" w:color="auto"/>
            </w:tcBorders>
            <w:shd w:val="clear" w:color="auto" w:fill="auto"/>
            <w:noWrap/>
            <w:vAlign w:val="center"/>
            <w:hideMark/>
          </w:tcPr>
          <w:p w14:paraId="440666B8"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117.009.095.551</w:t>
            </w:r>
          </w:p>
        </w:tc>
        <w:tc>
          <w:tcPr>
            <w:tcW w:w="1137" w:type="dxa"/>
            <w:tcBorders>
              <w:top w:val="nil"/>
              <w:left w:val="nil"/>
              <w:bottom w:val="single" w:sz="4" w:space="0" w:color="auto"/>
              <w:right w:val="single" w:sz="4" w:space="0" w:color="auto"/>
            </w:tcBorders>
            <w:shd w:val="clear" w:color="auto" w:fill="auto"/>
            <w:noWrap/>
            <w:vAlign w:val="center"/>
            <w:hideMark/>
          </w:tcPr>
          <w:p w14:paraId="449F84F3"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12.932.090.043</w:t>
            </w:r>
          </w:p>
        </w:tc>
        <w:tc>
          <w:tcPr>
            <w:tcW w:w="833" w:type="dxa"/>
            <w:tcBorders>
              <w:top w:val="nil"/>
              <w:left w:val="nil"/>
              <w:bottom w:val="single" w:sz="4" w:space="0" w:color="auto"/>
              <w:right w:val="single" w:sz="4" w:space="0" w:color="auto"/>
            </w:tcBorders>
            <w:shd w:val="clear" w:color="auto" w:fill="auto"/>
            <w:noWrap/>
            <w:vAlign w:val="center"/>
            <w:hideMark/>
          </w:tcPr>
          <w:p w14:paraId="36BC2B88"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11,05%</w:t>
            </w:r>
          </w:p>
        </w:tc>
      </w:tr>
      <w:tr w:rsidR="002D2825" w:rsidRPr="002D2825" w14:paraId="0E09664F"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5B3744CC" w14:textId="77777777" w:rsidR="002D2825" w:rsidRPr="002D2825" w:rsidRDefault="002D2825" w:rsidP="00AB4D08">
            <w:pPr>
              <w:spacing w:after="0" w:line="240" w:lineRule="auto"/>
              <w:contextualSpacing/>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IMPUESTOS, CONTRIBUCIONES Y TASAS</w:t>
            </w:r>
          </w:p>
        </w:tc>
        <w:tc>
          <w:tcPr>
            <w:tcW w:w="1345" w:type="dxa"/>
            <w:tcBorders>
              <w:top w:val="nil"/>
              <w:left w:val="nil"/>
              <w:bottom w:val="single" w:sz="4" w:space="0" w:color="auto"/>
              <w:right w:val="single" w:sz="4" w:space="0" w:color="auto"/>
            </w:tcBorders>
            <w:shd w:val="clear" w:color="auto" w:fill="auto"/>
            <w:noWrap/>
            <w:vAlign w:val="center"/>
            <w:hideMark/>
          </w:tcPr>
          <w:p w14:paraId="72572232"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569.688.647</w:t>
            </w:r>
          </w:p>
        </w:tc>
        <w:tc>
          <w:tcPr>
            <w:tcW w:w="1364" w:type="dxa"/>
            <w:tcBorders>
              <w:top w:val="nil"/>
              <w:left w:val="nil"/>
              <w:bottom w:val="single" w:sz="4" w:space="0" w:color="auto"/>
              <w:right w:val="single" w:sz="4" w:space="0" w:color="auto"/>
            </w:tcBorders>
            <w:shd w:val="clear" w:color="auto" w:fill="auto"/>
            <w:noWrap/>
            <w:vAlign w:val="center"/>
            <w:hideMark/>
          </w:tcPr>
          <w:p w14:paraId="13C7BB13"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1.215.016.387</w:t>
            </w:r>
          </w:p>
        </w:tc>
        <w:tc>
          <w:tcPr>
            <w:tcW w:w="1137" w:type="dxa"/>
            <w:tcBorders>
              <w:top w:val="nil"/>
              <w:left w:val="nil"/>
              <w:bottom w:val="single" w:sz="4" w:space="0" w:color="auto"/>
              <w:right w:val="single" w:sz="4" w:space="0" w:color="auto"/>
            </w:tcBorders>
            <w:shd w:val="clear" w:color="auto" w:fill="auto"/>
            <w:noWrap/>
            <w:vAlign w:val="center"/>
            <w:hideMark/>
          </w:tcPr>
          <w:p w14:paraId="70607262"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-645.327.740</w:t>
            </w:r>
          </w:p>
        </w:tc>
        <w:tc>
          <w:tcPr>
            <w:tcW w:w="833" w:type="dxa"/>
            <w:tcBorders>
              <w:top w:val="nil"/>
              <w:left w:val="nil"/>
              <w:bottom w:val="single" w:sz="4" w:space="0" w:color="auto"/>
              <w:right w:val="single" w:sz="4" w:space="0" w:color="auto"/>
            </w:tcBorders>
            <w:shd w:val="clear" w:color="auto" w:fill="auto"/>
            <w:noWrap/>
            <w:vAlign w:val="center"/>
            <w:hideMark/>
          </w:tcPr>
          <w:p w14:paraId="3F11196E"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-53,11%</w:t>
            </w:r>
          </w:p>
        </w:tc>
      </w:tr>
      <w:tr w:rsidR="002D2825" w:rsidRPr="002D2825" w14:paraId="3128FD00" w14:textId="77777777" w:rsidTr="00E90A32">
        <w:trPr>
          <w:trHeight w:val="257"/>
        </w:trPr>
        <w:tc>
          <w:tcPr>
            <w:tcW w:w="3885" w:type="dxa"/>
            <w:tcBorders>
              <w:top w:val="nil"/>
              <w:left w:val="single" w:sz="4" w:space="0" w:color="auto"/>
              <w:bottom w:val="single" w:sz="4" w:space="0" w:color="auto"/>
              <w:right w:val="single" w:sz="4" w:space="0" w:color="auto"/>
            </w:tcBorders>
            <w:shd w:val="clear" w:color="auto" w:fill="auto"/>
            <w:noWrap/>
            <w:vAlign w:val="center"/>
            <w:hideMark/>
          </w:tcPr>
          <w:p w14:paraId="19A693E8" w14:textId="77777777" w:rsidR="002D2825" w:rsidRPr="002D2825" w:rsidRDefault="002D2825" w:rsidP="00AB4D08">
            <w:pPr>
              <w:spacing w:after="0" w:line="240" w:lineRule="auto"/>
              <w:contextualSpacing/>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TOTAL</w:t>
            </w:r>
          </w:p>
        </w:tc>
        <w:tc>
          <w:tcPr>
            <w:tcW w:w="1345" w:type="dxa"/>
            <w:tcBorders>
              <w:top w:val="nil"/>
              <w:left w:val="nil"/>
              <w:bottom w:val="single" w:sz="4" w:space="0" w:color="auto"/>
              <w:right w:val="single" w:sz="4" w:space="0" w:color="auto"/>
            </w:tcBorders>
            <w:shd w:val="clear" w:color="auto" w:fill="auto"/>
            <w:noWrap/>
            <w:vAlign w:val="center"/>
            <w:hideMark/>
          </w:tcPr>
          <w:p w14:paraId="2684EF65" w14:textId="77777777" w:rsidR="002D2825" w:rsidRPr="002D2825" w:rsidRDefault="002D2825" w:rsidP="00AB4D08">
            <w:pPr>
              <w:spacing w:after="0" w:line="240" w:lineRule="auto"/>
              <w:contextualSpacing/>
              <w:jc w:val="right"/>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183.196.999.470</w:t>
            </w:r>
          </w:p>
        </w:tc>
        <w:tc>
          <w:tcPr>
            <w:tcW w:w="1364" w:type="dxa"/>
            <w:tcBorders>
              <w:top w:val="nil"/>
              <w:left w:val="nil"/>
              <w:bottom w:val="single" w:sz="4" w:space="0" w:color="auto"/>
              <w:right w:val="single" w:sz="4" w:space="0" w:color="auto"/>
            </w:tcBorders>
            <w:shd w:val="clear" w:color="auto" w:fill="auto"/>
            <w:noWrap/>
            <w:vAlign w:val="center"/>
            <w:hideMark/>
          </w:tcPr>
          <w:p w14:paraId="54E0AD70" w14:textId="77777777" w:rsidR="002D2825" w:rsidRPr="002D2825" w:rsidRDefault="002D2825" w:rsidP="00AB4D08">
            <w:pPr>
              <w:spacing w:after="0" w:line="240" w:lineRule="auto"/>
              <w:contextualSpacing/>
              <w:jc w:val="right"/>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168.174.231.485</w:t>
            </w:r>
          </w:p>
        </w:tc>
        <w:tc>
          <w:tcPr>
            <w:tcW w:w="1137" w:type="dxa"/>
            <w:tcBorders>
              <w:top w:val="nil"/>
              <w:left w:val="nil"/>
              <w:bottom w:val="single" w:sz="4" w:space="0" w:color="auto"/>
              <w:right w:val="single" w:sz="4" w:space="0" w:color="auto"/>
            </w:tcBorders>
            <w:shd w:val="clear" w:color="auto" w:fill="auto"/>
            <w:noWrap/>
            <w:vAlign w:val="center"/>
            <w:hideMark/>
          </w:tcPr>
          <w:p w14:paraId="4A6A80EC" w14:textId="77777777" w:rsidR="002D2825" w:rsidRPr="002D2825" w:rsidRDefault="002D2825" w:rsidP="00AB4D08">
            <w:pPr>
              <w:spacing w:after="0" w:line="240" w:lineRule="auto"/>
              <w:contextualSpacing/>
              <w:jc w:val="right"/>
              <w:rPr>
                <w:rFonts w:ascii="Times New Roman" w:eastAsia="Times New Roman" w:hAnsi="Times New Roman"/>
                <w:b/>
                <w:bCs/>
                <w:color w:val="000000"/>
                <w:sz w:val="16"/>
                <w:szCs w:val="16"/>
                <w:lang w:eastAsia="es-CO"/>
              </w:rPr>
            </w:pPr>
            <w:r w:rsidRPr="002D2825">
              <w:rPr>
                <w:rFonts w:ascii="Times New Roman" w:eastAsia="Times New Roman" w:hAnsi="Times New Roman"/>
                <w:b/>
                <w:bCs/>
                <w:color w:val="000000"/>
                <w:sz w:val="16"/>
                <w:szCs w:val="16"/>
                <w:lang w:eastAsia="es-CO"/>
              </w:rPr>
              <w:t>15.022.767.985</w:t>
            </w:r>
          </w:p>
        </w:tc>
        <w:tc>
          <w:tcPr>
            <w:tcW w:w="833" w:type="dxa"/>
            <w:tcBorders>
              <w:top w:val="nil"/>
              <w:left w:val="nil"/>
              <w:bottom w:val="single" w:sz="4" w:space="0" w:color="auto"/>
              <w:right w:val="single" w:sz="4" w:space="0" w:color="auto"/>
            </w:tcBorders>
            <w:shd w:val="clear" w:color="auto" w:fill="auto"/>
            <w:noWrap/>
            <w:vAlign w:val="center"/>
            <w:hideMark/>
          </w:tcPr>
          <w:p w14:paraId="72E0B267" w14:textId="77777777" w:rsidR="002D2825" w:rsidRPr="002D2825" w:rsidRDefault="002D2825" w:rsidP="00AB4D08">
            <w:pPr>
              <w:spacing w:after="0" w:line="240" w:lineRule="auto"/>
              <w:contextualSpacing/>
              <w:jc w:val="right"/>
              <w:rPr>
                <w:rFonts w:ascii="Times New Roman" w:eastAsia="Times New Roman" w:hAnsi="Times New Roman"/>
                <w:color w:val="000000"/>
                <w:sz w:val="16"/>
                <w:szCs w:val="16"/>
                <w:lang w:eastAsia="es-CO"/>
              </w:rPr>
            </w:pPr>
            <w:r w:rsidRPr="002D2825">
              <w:rPr>
                <w:rFonts w:ascii="Times New Roman" w:eastAsia="Times New Roman" w:hAnsi="Times New Roman"/>
                <w:color w:val="000000"/>
                <w:sz w:val="16"/>
                <w:szCs w:val="16"/>
                <w:lang w:eastAsia="es-CO"/>
              </w:rPr>
              <w:t>8,93%</w:t>
            </w:r>
          </w:p>
        </w:tc>
      </w:tr>
    </w:tbl>
    <w:p w14:paraId="3D0B9BC9" w14:textId="77777777" w:rsidR="002D2825" w:rsidRDefault="002D2825" w:rsidP="00AB4D08">
      <w:pPr>
        <w:spacing w:after="0" w:line="240" w:lineRule="auto"/>
        <w:ind w:left="567"/>
        <w:contextualSpacing/>
        <w:jc w:val="both"/>
        <w:rPr>
          <w:rFonts w:ascii="Times New Roman" w:eastAsia="Arial" w:hAnsi="Times New Roman"/>
          <w:sz w:val="24"/>
          <w:szCs w:val="24"/>
        </w:rPr>
      </w:pPr>
    </w:p>
    <w:p w14:paraId="229B7B94" w14:textId="77777777" w:rsidR="0099011D" w:rsidRPr="002E4A43" w:rsidRDefault="0099011D" w:rsidP="00AB4D08">
      <w:pPr>
        <w:spacing w:line="240" w:lineRule="auto"/>
        <w:ind w:left="567"/>
        <w:contextualSpacing/>
        <w:jc w:val="both"/>
        <w:rPr>
          <w:rFonts w:ascii="Times New Roman" w:eastAsia="Arial" w:hAnsi="Times New Roman"/>
          <w:sz w:val="24"/>
          <w:szCs w:val="24"/>
          <w:highlight w:val="white"/>
        </w:rPr>
      </w:pPr>
      <w:r w:rsidRPr="002E4A43">
        <w:rPr>
          <w:rFonts w:ascii="Times New Roman" w:eastAsia="Arial" w:hAnsi="Times New Roman"/>
          <w:sz w:val="24"/>
          <w:szCs w:val="24"/>
          <w:highlight w:val="white"/>
        </w:rPr>
        <w:t xml:space="preserve">Los gastos de Administración y Operación se componen de las erogaciones generadas por la entidad para el desarrollo de su actividad misional y su funcionamiento, como lo son los gastos de nómina, honorarios, arrendamientos, seguros, impuestos y gastos generales. </w:t>
      </w:r>
    </w:p>
    <w:p w14:paraId="41E0AD8A" w14:textId="77777777" w:rsidR="0099011D" w:rsidRDefault="0099011D" w:rsidP="00AB4D08">
      <w:pPr>
        <w:spacing w:line="240" w:lineRule="auto"/>
        <w:ind w:left="567"/>
        <w:contextualSpacing/>
        <w:jc w:val="both"/>
        <w:rPr>
          <w:rFonts w:ascii="Times New Roman" w:eastAsia="Arial" w:hAnsi="Times New Roman"/>
          <w:sz w:val="24"/>
          <w:szCs w:val="24"/>
          <w:highlight w:val="white"/>
        </w:rPr>
      </w:pPr>
    </w:p>
    <w:p w14:paraId="59AC1172"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3CC34B82"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2B34824F"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1877E080"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49EC5322"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0A3E27E1"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0D8CA521"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67A793EA"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22E2694D"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62EE7B06"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71F27D07" w14:textId="77777777" w:rsidR="00E90A32" w:rsidRDefault="00E90A32" w:rsidP="00AB4D08">
      <w:pPr>
        <w:spacing w:line="240" w:lineRule="auto"/>
        <w:ind w:left="567"/>
        <w:contextualSpacing/>
        <w:jc w:val="both"/>
        <w:rPr>
          <w:rFonts w:ascii="Times New Roman" w:eastAsia="Arial" w:hAnsi="Times New Roman"/>
          <w:sz w:val="24"/>
          <w:szCs w:val="24"/>
          <w:highlight w:val="white"/>
        </w:rPr>
      </w:pPr>
    </w:p>
    <w:p w14:paraId="4EC31BFA" w14:textId="77777777" w:rsidR="00083AF4" w:rsidRPr="00083AF4" w:rsidRDefault="00083AF4" w:rsidP="00AB4D08">
      <w:pPr>
        <w:spacing w:line="240" w:lineRule="auto"/>
        <w:ind w:left="567"/>
        <w:contextualSpacing/>
        <w:jc w:val="both"/>
        <w:rPr>
          <w:rFonts w:ascii="Times New Roman" w:eastAsia="Arial" w:hAnsi="Times New Roman"/>
          <w:sz w:val="24"/>
          <w:szCs w:val="24"/>
          <w:highlight w:val="white"/>
        </w:rPr>
      </w:pPr>
      <w:r w:rsidRPr="00083AF4">
        <w:rPr>
          <w:rFonts w:ascii="Times New Roman" w:eastAsia="Arial" w:hAnsi="Times New Roman"/>
          <w:sz w:val="24"/>
          <w:szCs w:val="24"/>
          <w:highlight w:val="white"/>
        </w:rPr>
        <w:t>El detalle de los gastos generales es el siguiente:</w:t>
      </w:r>
    </w:p>
    <w:p w14:paraId="6AD8520F" w14:textId="77777777" w:rsidR="00083AF4" w:rsidRDefault="00083AF4" w:rsidP="00AB4D08">
      <w:pPr>
        <w:spacing w:line="240" w:lineRule="auto"/>
        <w:ind w:left="567"/>
        <w:contextualSpacing/>
        <w:jc w:val="both"/>
        <w:rPr>
          <w:rFonts w:ascii="Times New Roman" w:eastAsia="Arial" w:hAnsi="Times New Roman"/>
          <w:sz w:val="24"/>
          <w:szCs w:val="24"/>
          <w:highlight w:val="white"/>
        </w:rPr>
      </w:pPr>
    </w:p>
    <w:tbl>
      <w:tblPr>
        <w:tblW w:w="8880" w:type="dxa"/>
        <w:tblCellMar>
          <w:left w:w="70" w:type="dxa"/>
          <w:right w:w="70" w:type="dxa"/>
        </w:tblCellMar>
        <w:tblLook w:val="04A0" w:firstRow="1" w:lastRow="0" w:firstColumn="1" w:lastColumn="0" w:noHBand="0" w:noVBand="1"/>
      </w:tblPr>
      <w:tblGrid>
        <w:gridCol w:w="3940"/>
        <w:gridCol w:w="1420"/>
        <w:gridCol w:w="1440"/>
        <w:gridCol w:w="1200"/>
        <w:gridCol w:w="880"/>
      </w:tblGrid>
      <w:tr w:rsidR="00083AF4" w:rsidRPr="00B91358" w14:paraId="70352CF6" w14:textId="77777777" w:rsidTr="00A102E6">
        <w:trPr>
          <w:trHeight w:val="255"/>
        </w:trPr>
        <w:tc>
          <w:tcPr>
            <w:tcW w:w="39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D67B5B" w14:textId="77777777" w:rsidR="00083AF4" w:rsidRPr="00B91358" w:rsidRDefault="00083AF4" w:rsidP="00AB4D08">
            <w:pPr>
              <w:spacing w:after="0" w:line="240" w:lineRule="auto"/>
              <w:contextualSpacing/>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GASTOS GENERALES</w:t>
            </w:r>
          </w:p>
        </w:tc>
        <w:tc>
          <w:tcPr>
            <w:tcW w:w="1420" w:type="dxa"/>
            <w:tcBorders>
              <w:top w:val="single" w:sz="4" w:space="0" w:color="auto"/>
              <w:left w:val="nil"/>
              <w:bottom w:val="single" w:sz="4" w:space="0" w:color="auto"/>
              <w:right w:val="single" w:sz="4" w:space="0" w:color="auto"/>
            </w:tcBorders>
            <w:shd w:val="clear" w:color="000000" w:fill="D9D9D9"/>
            <w:noWrap/>
            <w:vAlign w:val="center"/>
            <w:hideMark/>
          </w:tcPr>
          <w:p w14:paraId="29474B98" w14:textId="77777777" w:rsidR="00083AF4" w:rsidRPr="00B91358" w:rsidRDefault="00083AF4" w:rsidP="00AB4D08">
            <w:pPr>
              <w:spacing w:after="0" w:line="240" w:lineRule="auto"/>
              <w:contextualSpacing/>
              <w:jc w:val="center"/>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2019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F2BD1AC" w14:textId="77777777" w:rsidR="00083AF4" w:rsidRPr="00B91358" w:rsidRDefault="00083AF4" w:rsidP="00AB4D08">
            <w:pPr>
              <w:spacing w:after="0" w:line="240" w:lineRule="auto"/>
              <w:contextualSpacing/>
              <w:jc w:val="center"/>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2018</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3F1789F4" w14:textId="77777777" w:rsidR="00083AF4" w:rsidRPr="00B91358" w:rsidRDefault="00083AF4" w:rsidP="00AB4D08">
            <w:pPr>
              <w:spacing w:after="0" w:line="240" w:lineRule="auto"/>
              <w:contextualSpacing/>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VARIACION</w:t>
            </w:r>
          </w:p>
        </w:tc>
        <w:tc>
          <w:tcPr>
            <w:tcW w:w="880" w:type="dxa"/>
            <w:tcBorders>
              <w:top w:val="single" w:sz="4" w:space="0" w:color="auto"/>
              <w:left w:val="nil"/>
              <w:bottom w:val="single" w:sz="4" w:space="0" w:color="auto"/>
              <w:right w:val="single" w:sz="4" w:space="0" w:color="auto"/>
            </w:tcBorders>
            <w:shd w:val="clear" w:color="000000" w:fill="D9D9D9"/>
            <w:noWrap/>
            <w:vAlign w:val="center"/>
            <w:hideMark/>
          </w:tcPr>
          <w:p w14:paraId="051420A6" w14:textId="77777777" w:rsidR="00083AF4" w:rsidRPr="00B91358" w:rsidRDefault="00083AF4" w:rsidP="00AB4D08">
            <w:pPr>
              <w:spacing w:after="0" w:line="240" w:lineRule="auto"/>
              <w:contextualSpacing/>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VAR%</w:t>
            </w:r>
          </w:p>
        </w:tc>
      </w:tr>
      <w:tr w:rsidR="00083AF4" w:rsidRPr="00B91358" w14:paraId="6842FFF5"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30ABD19"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OBRAS Y MEJORAS EN PROPIEDAD AJENA</w:t>
            </w:r>
          </w:p>
        </w:tc>
        <w:tc>
          <w:tcPr>
            <w:tcW w:w="1420" w:type="dxa"/>
            <w:tcBorders>
              <w:top w:val="nil"/>
              <w:left w:val="nil"/>
              <w:bottom w:val="single" w:sz="4" w:space="0" w:color="auto"/>
              <w:right w:val="single" w:sz="4" w:space="0" w:color="auto"/>
            </w:tcBorders>
            <w:shd w:val="clear" w:color="auto" w:fill="auto"/>
            <w:noWrap/>
            <w:vAlign w:val="center"/>
            <w:hideMark/>
          </w:tcPr>
          <w:p w14:paraId="0E0538EF"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1,217,128,456 </w:t>
            </w:r>
          </w:p>
        </w:tc>
        <w:tc>
          <w:tcPr>
            <w:tcW w:w="1440" w:type="dxa"/>
            <w:tcBorders>
              <w:top w:val="nil"/>
              <w:left w:val="nil"/>
              <w:bottom w:val="single" w:sz="4" w:space="0" w:color="auto"/>
              <w:right w:val="single" w:sz="4" w:space="0" w:color="auto"/>
            </w:tcBorders>
            <w:shd w:val="clear" w:color="auto" w:fill="auto"/>
            <w:noWrap/>
            <w:vAlign w:val="center"/>
            <w:hideMark/>
          </w:tcPr>
          <w:p w14:paraId="7965DBEC"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689,800,478 </w:t>
            </w:r>
          </w:p>
        </w:tc>
        <w:tc>
          <w:tcPr>
            <w:tcW w:w="1200" w:type="dxa"/>
            <w:tcBorders>
              <w:top w:val="nil"/>
              <w:left w:val="nil"/>
              <w:bottom w:val="single" w:sz="4" w:space="0" w:color="auto"/>
              <w:right w:val="single" w:sz="4" w:space="0" w:color="auto"/>
            </w:tcBorders>
            <w:shd w:val="clear" w:color="auto" w:fill="auto"/>
            <w:noWrap/>
            <w:vAlign w:val="center"/>
            <w:hideMark/>
          </w:tcPr>
          <w:p w14:paraId="53B2E84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527,327,978</w:t>
            </w:r>
          </w:p>
        </w:tc>
        <w:tc>
          <w:tcPr>
            <w:tcW w:w="880" w:type="dxa"/>
            <w:tcBorders>
              <w:top w:val="nil"/>
              <w:left w:val="nil"/>
              <w:bottom w:val="single" w:sz="4" w:space="0" w:color="auto"/>
              <w:right w:val="single" w:sz="4" w:space="0" w:color="auto"/>
            </w:tcBorders>
            <w:shd w:val="clear" w:color="auto" w:fill="auto"/>
            <w:noWrap/>
            <w:vAlign w:val="center"/>
            <w:hideMark/>
          </w:tcPr>
          <w:p w14:paraId="11864CF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76.45%</w:t>
            </w:r>
          </w:p>
        </w:tc>
      </w:tr>
      <w:tr w:rsidR="00083AF4" w:rsidRPr="00B91358" w14:paraId="525B571D"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D62599B"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VIGILANCIA Y SEGURIDAD</w:t>
            </w:r>
          </w:p>
        </w:tc>
        <w:tc>
          <w:tcPr>
            <w:tcW w:w="1420" w:type="dxa"/>
            <w:tcBorders>
              <w:top w:val="nil"/>
              <w:left w:val="nil"/>
              <w:bottom w:val="single" w:sz="4" w:space="0" w:color="auto"/>
              <w:right w:val="single" w:sz="4" w:space="0" w:color="auto"/>
            </w:tcBorders>
            <w:shd w:val="clear" w:color="auto" w:fill="auto"/>
            <w:noWrap/>
            <w:vAlign w:val="center"/>
            <w:hideMark/>
          </w:tcPr>
          <w:p w14:paraId="711475F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2,155,682,689 </w:t>
            </w:r>
          </w:p>
        </w:tc>
        <w:tc>
          <w:tcPr>
            <w:tcW w:w="1440" w:type="dxa"/>
            <w:tcBorders>
              <w:top w:val="nil"/>
              <w:left w:val="nil"/>
              <w:bottom w:val="single" w:sz="4" w:space="0" w:color="auto"/>
              <w:right w:val="single" w:sz="4" w:space="0" w:color="auto"/>
            </w:tcBorders>
            <w:shd w:val="clear" w:color="auto" w:fill="auto"/>
            <w:noWrap/>
            <w:vAlign w:val="center"/>
            <w:hideMark/>
          </w:tcPr>
          <w:p w14:paraId="38FE3283"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1,813,573,728 </w:t>
            </w:r>
          </w:p>
        </w:tc>
        <w:tc>
          <w:tcPr>
            <w:tcW w:w="1200" w:type="dxa"/>
            <w:tcBorders>
              <w:top w:val="nil"/>
              <w:left w:val="nil"/>
              <w:bottom w:val="single" w:sz="4" w:space="0" w:color="auto"/>
              <w:right w:val="single" w:sz="4" w:space="0" w:color="auto"/>
            </w:tcBorders>
            <w:shd w:val="clear" w:color="auto" w:fill="auto"/>
            <w:noWrap/>
            <w:vAlign w:val="center"/>
            <w:hideMark/>
          </w:tcPr>
          <w:p w14:paraId="0AE4A4D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342,108,961</w:t>
            </w:r>
          </w:p>
        </w:tc>
        <w:tc>
          <w:tcPr>
            <w:tcW w:w="880" w:type="dxa"/>
            <w:tcBorders>
              <w:top w:val="nil"/>
              <w:left w:val="nil"/>
              <w:bottom w:val="single" w:sz="4" w:space="0" w:color="auto"/>
              <w:right w:val="single" w:sz="4" w:space="0" w:color="auto"/>
            </w:tcBorders>
            <w:shd w:val="clear" w:color="auto" w:fill="auto"/>
            <w:noWrap/>
            <w:vAlign w:val="center"/>
            <w:hideMark/>
          </w:tcPr>
          <w:p w14:paraId="00943FAC"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18.86%</w:t>
            </w:r>
          </w:p>
        </w:tc>
      </w:tr>
      <w:tr w:rsidR="00083AF4" w:rsidRPr="00B91358" w14:paraId="3F587FD8"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1529E521"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MATERIALES Y SUMINISTROS</w:t>
            </w:r>
          </w:p>
        </w:tc>
        <w:tc>
          <w:tcPr>
            <w:tcW w:w="1420" w:type="dxa"/>
            <w:tcBorders>
              <w:top w:val="nil"/>
              <w:left w:val="nil"/>
              <w:bottom w:val="single" w:sz="4" w:space="0" w:color="auto"/>
              <w:right w:val="single" w:sz="4" w:space="0" w:color="auto"/>
            </w:tcBorders>
            <w:shd w:val="clear" w:color="auto" w:fill="auto"/>
            <w:noWrap/>
            <w:vAlign w:val="center"/>
            <w:hideMark/>
          </w:tcPr>
          <w:p w14:paraId="0347F00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1,263,096,225 </w:t>
            </w:r>
          </w:p>
        </w:tc>
        <w:tc>
          <w:tcPr>
            <w:tcW w:w="1440" w:type="dxa"/>
            <w:tcBorders>
              <w:top w:val="nil"/>
              <w:left w:val="nil"/>
              <w:bottom w:val="single" w:sz="4" w:space="0" w:color="auto"/>
              <w:right w:val="single" w:sz="4" w:space="0" w:color="auto"/>
            </w:tcBorders>
            <w:shd w:val="clear" w:color="auto" w:fill="auto"/>
            <w:noWrap/>
            <w:vAlign w:val="center"/>
            <w:hideMark/>
          </w:tcPr>
          <w:p w14:paraId="79CF98CD"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1,110,790,710 </w:t>
            </w:r>
          </w:p>
        </w:tc>
        <w:tc>
          <w:tcPr>
            <w:tcW w:w="1200" w:type="dxa"/>
            <w:tcBorders>
              <w:top w:val="nil"/>
              <w:left w:val="nil"/>
              <w:bottom w:val="single" w:sz="4" w:space="0" w:color="auto"/>
              <w:right w:val="single" w:sz="4" w:space="0" w:color="auto"/>
            </w:tcBorders>
            <w:shd w:val="clear" w:color="auto" w:fill="auto"/>
            <w:noWrap/>
            <w:vAlign w:val="center"/>
            <w:hideMark/>
          </w:tcPr>
          <w:p w14:paraId="2C25D80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152,305,515</w:t>
            </w:r>
          </w:p>
        </w:tc>
        <w:tc>
          <w:tcPr>
            <w:tcW w:w="880" w:type="dxa"/>
            <w:tcBorders>
              <w:top w:val="nil"/>
              <w:left w:val="nil"/>
              <w:bottom w:val="single" w:sz="4" w:space="0" w:color="auto"/>
              <w:right w:val="single" w:sz="4" w:space="0" w:color="auto"/>
            </w:tcBorders>
            <w:shd w:val="clear" w:color="auto" w:fill="auto"/>
            <w:noWrap/>
            <w:vAlign w:val="center"/>
            <w:hideMark/>
          </w:tcPr>
          <w:p w14:paraId="42DD502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13.71%</w:t>
            </w:r>
          </w:p>
        </w:tc>
      </w:tr>
      <w:tr w:rsidR="00083AF4" w:rsidRPr="00B91358" w14:paraId="5396D20E"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12D6A98"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MANTENIMIENTO</w:t>
            </w:r>
          </w:p>
        </w:tc>
        <w:tc>
          <w:tcPr>
            <w:tcW w:w="1420" w:type="dxa"/>
            <w:tcBorders>
              <w:top w:val="nil"/>
              <w:left w:val="nil"/>
              <w:bottom w:val="single" w:sz="4" w:space="0" w:color="auto"/>
              <w:right w:val="single" w:sz="4" w:space="0" w:color="auto"/>
            </w:tcBorders>
            <w:shd w:val="clear" w:color="auto" w:fill="auto"/>
            <w:noWrap/>
            <w:vAlign w:val="center"/>
            <w:hideMark/>
          </w:tcPr>
          <w:p w14:paraId="065F1CFE"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1,478,597,166 </w:t>
            </w:r>
          </w:p>
        </w:tc>
        <w:tc>
          <w:tcPr>
            <w:tcW w:w="1440" w:type="dxa"/>
            <w:tcBorders>
              <w:top w:val="nil"/>
              <w:left w:val="nil"/>
              <w:bottom w:val="single" w:sz="4" w:space="0" w:color="auto"/>
              <w:right w:val="single" w:sz="4" w:space="0" w:color="auto"/>
            </w:tcBorders>
            <w:shd w:val="clear" w:color="auto" w:fill="auto"/>
            <w:noWrap/>
            <w:vAlign w:val="center"/>
            <w:hideMark/>
          </w:tcPr>
          <w:p w14:paraId="09E7F29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705,940,625 </w:t>
            </w:r>
          </w:p>
        </w:tc>
        <w:tc>
          <w:tcPr>
            <w:tcW w:w="1200" w:type="dxa"/>
            <w:tcBorders>
              <w:top w:val="nil"/>
              <w:left w:val="nil"/>
              <w:bottom w:val="single" w:sz="4" w:space="0" w:color="auto"/>
              <w:right w:val="single" w:sz="4" w:space="0" w:color="auto"/>
            </w:tcBorders>
            <w:shd w:val="clear" w:color="auto" w:fill="auto"/>
            <w:noWrap/>
            <w:vAlign w:val="center"/>
            <w:hideMark/>
          </w:tcPr>
          <w:p w14:paraId="2252A582"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772,656,541</w:t>
            </w:r>
          </w:p>
        </w:tc>
        <w:tc>
          <w:tcPr>
            <w:tcW w:w="880" w:type="dxa"/>
            <w:tcBorders>
              <w:top w:val="nil"/>
              <w:left w:val="nil"/>
              <w:bottom w:val="single" w:sz="4" w:space="0" w:color="auto"/>
              <w:right w:val="single" w:sz="4" w:space="0" w:color="auto"/>
            </w:tcBorders>
            <w:shd w:val="clear" w:color="auto" w:fill="auto"/>
            <w:noWrap/>
            <w:vAlign w:val="center"/>
            <w:hideMark/>
          </w:tcPr>
          <w:p w14:paraId="57A4427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109.45%</w:t>
            </w:r>
          </w:p>
        </w:tc>
      </w:tr>
      <w:tr w:rsidR="00083AF4" w:rsidRPr="00B91358" w14:paraId="6A98BF7E"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C054278"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SERVICIOS PÚBLICOS</w:t>
            </w:r>
          </w:p>
        </w:tc>
        <w:tc>
          <w:tcPr>
            <w:tcW w:w="1420" w:type="dxa"/>
            <w:tcBorders>
              <w:top w:val="nil"/>
              <w:left w:val="nil"/>
              <w:bottom w:val="single" w:sz="4" w:space="0" w:color="auto"/>
              <w:right w:val="single" w:sz="4" w:space="0" w:color="auto"/>
            </w:tcBorders>
            <w:shd w:val="clear" w:color="auto" w:fill="auto"/>
            <w:noWrap/>
            <w:vAlign w:val="center"/>
            <w:hideMark/>
          </w:tcPr>
          <w:p w14:paraId="50D3D833"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1,104,188,926 </w:t>
            </w:r>
          </w:p>
        </w:tc>
        <w:tc>
          <w:tcPr>
            <w:tcW w:w="1440" w:type="dxa"/>
            <w:tcBorders>
              <w:top w:val="nil"/>
              <w:left w:val="nil"/>
              <w:bottom w:val="single" w:sz="4" w:space="0" w:color="auto"/>
              <w:right w:val="single" w:sz="4" w:space="0" w:color="auto"/>
            </w:tcBorders>
            <w:shd w:val="clear" w:color="auto" w:fill="auto"/>
            <w:noWrap/>
            <w:vAlign w:val="center"/>
            <w:hideMark/>
          </w:tcPr>
          <w:p w14:paraId="6A19F7DD"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1,064,369,946 </w:t>
            </w:r>
          </w:p>
        </w:tc>
        <w:tc>
          <w:tcPr>
            <w:tcW w:w="1200" w:type="dxa"/>
            <w:tcBorders>
              <w:top w:val="nil"/>
              <w:left w:val="nil"/>
              <w:bottom w:val="single" w:sz="4" w:space="0" w:color="auto"/>
              <w:right w:val="single" w:sz="4" w:space="0" w:color="auto"/>
            </w:tcBorders>
            <w:shd w:val="clear" w:color="auto" w:fill="auto"/>
            <w:noWrap/>
            <w:vAlign w:val="center"/>
            <w:hideMark/>
          </w:tcPr>
          <w:p w14:paraId="0146C33D"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39,818,980</w:t>
            </w:r>
          </w:p>
        </w:tc>
        <w:tc>
          <w:tcPr>
            <w:tcW w:w="880" w:type="dxa"/>
            <w:tcBorders>
              <w:top w:val="nil"/>
              <w:left w:val="nil"/>
              <w:bottom w:val="single" w:sz="4" w:space="0" w:color="auto"/>
              <w:right w:val="single" w:sz="4" w:space="0" w:color="auto"/>
            </w:tcBorders>
            <w:shd w:val="clear" w:color="auto" w:fill="auto"/>
            <w:noWrap/>
            <w:vAlign w:val="center"/>
            <w:hideMark/>
          </w:tcPr>
          <w:p w14:paraId="12BCA87F"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3.74%</w:t>
            </w:r>
          </w:p>
        </w:tc>
      </w:tr>
      <w:tr w:rsidR="00083AF4" w:rsidRPr="00B91358" w14:paraId="0AA20231"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0F72253"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ARRENDAMIENTO OPERATIVO</w:t>
            </w:r>
          </w:p>
        </w:tc>
        <w:tc>
          <w:tcPr>
            <w:tcW w:w="1420" w:type="dxa"/>
            <w:tcBorders>
              <w:top w:val="nil"/>
              <w:left w:val="nil"/>
              <w:bottom w:val="single" w:sz="4" w:space="0" w:color="auto"/>
              <w:right w:val="single" w:sz="4" w:space="0" w:color="auto"/>
            </w:tcBorders>
            <w:shd w:val="clear" w:color="auto" w:fill="auto"/>
            <w:noWrap/>
            <w:vAlign w:val="center"/>
            <w:hideMark/>
          </w:tcPr>
          <w:p w14:paraId="23EC885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5,306,409,340 </w:t>
            </w:r>
          </w:p>
        </w:tc>
        <w:tc>
          <w:tcPr>
            <w:tcW w:w="1440" w:type="dxa"/>
            <w:tcBorders>
              <w:top w:val="nil"/>
              <w:left w:val="nil"/>
              <w:bottom w:val="single" w:sz="4" w:space="0" w:color="auto"/>
              <w:right w:val="single" w:sz="4" w:space="0" w:color="auto"/>
            </w:tcBorders>
            <w:shd w:val="clear" w:color="auto" w:fill="auto"/>
            <w:noWrap/>
            <w:vAlign w:val="center"/>
            <w:hideMark/>
          </w:tcPr>
          <w:p w14:paraId="443768AB"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3,726,548,010 </w:t>
            </w:r>
          </w:p>
        </w:tc>
        <w:tc>
          <w:tcPr>
            <w:tcW w:w="1200" w:type="dxa"/>
            <w:tcBorders>
              <w:top w:val="nil"/>
              <w:left w:val="nil"/>
              <w:bottom w:val="single" w:sz="4" w:space="0" w:color="auto"/>
              <w:right w:val="single" w:sz="4" w:space="0" w:color="auto"/>
            </w:tcBorders>
            <w:shd w:val="clear" w:color="auto" w:fill="auto"/>
            <w:noWrap/>
            <w:vAlign w:val="center"/>
            <w:hideMark/>
          </w:tcPr>
          <w:p w14:paraId="1CB73F2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1,579,861,330</w:t>
            </w:r>
          </w:p>
        </w:tc>
        <w:tc>
          <w:tcPr>
            <w:tcW w:w="880" w:type="dxa"/>
            <w:tcBorders>
              <w:top w:val="nil"/>
              <w:left w:val="nil"/>
              <w:bottom w:val="single" w:sz="4" w:space="0" w:color="auto"/>
              <w:right w:val="single" w:sz="4" w:space="0" w:color="auto"/>
            </w:tcBorders>
            <w:shd w:val="clear" w:color="auto" w:fill="auto"/>
            <w:noWrap/>
            <w:vAlign w:val="center"/>
            <w:hideMark/>
          </w:tcPr>
          <w:p w14:paraId="3CFE80D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42.39%</w:t>
            </w:r>
          </w:p>
        </w:tc>
      </w:tr>
      <w:tr w:rsidR="00083AF4" w:rsidRPr="00B91358" w14:paraId="5E555041"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43AC0DC"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IMPRESOS, PUBLICACIONES, SUSCRIPCIONES</w:t>
            </w:r>
          </w:p>
        </w:tc>
        <w:tc>
          <w:tcPr>
            <w:tcW w:w="1420" w:type="dxa"/>
            <w:tcBorders>
              <w:top w:val="nil"/>
              <w:left w:val="nil"/>
              <w:bottom w:val="single" w:sz="4" w:space="0" w:color="auto"/>
              <w:right w:val="single" w:sz="4" w:space="0" w:color="auto"/>
            </w:tcBorders>
            <w:shd w:val="clear" w:color="auto" w:fill="auto"/>
            <w:noWrap/>
            <w:vAlign w:val="center"/>
            <w:hideMark/>
          </w:tcPr>
          <w:p w14:paraId="5D056E1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4,192,725,996 </w:t>
            </w:r>
          </w:p>
        </w:tc>
        <w:tc>
          <w:tcPr>
            <w:tcW w:w="1440" w:type="dxa"/>
            <w:tcBorders>
              <w:top w:val="nil"/>
              <w:left w:val="nil"/>
              <w:bottom w:val="single" w:sz="4" w:space="0" w:color="auto"/>
              <w:right w:val="single" w:sz="4" w:space="0" w:color="auto"/>
            </w:tcBorders>
            <w:shd w:val="clear" w:color="auto" w:fill="auto"/>
            <w:noWrap/>
            <w:vAlign w:val="center"/>
            <w:hideMark/>
          </w:tcPr>
          <w:p w14:paraId="345D7512"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576,528,071 </w:t>
            </w:r>
          </w:p>
        </w:tc>
        <w:tc>
          <w:tcPr>
            <w:tcW w:w="1200" w:type="dxa"/>
            <w:tcBorders>
              <w:top w:val="nil"/>
              <w:left w:val="nil"/>
              <w:bottom w:val="single" w:sz="4" w:space="0" w:color="auto"/>
              <w:right w:val="single" w:sz="4" w:space="0" w:color="auto"/>
            </w:tcBorders>
            <w:shd w:val="clear" w:color="auto" w:fill="auto"/>
            <w:noWrap/>
            <w:vAlign w:val="center"/>
            <w:hideMark/>
          </w:tcPr>
          <w:p w14:paraId="0061120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3,616,197,925</w:t>
            </w:r>
          </w:p>
        </w:tc>
        <w:tc>
          <w:tcPr>
            <w:tcW w:w="880" w:type="dxa"/>
            <w:tcBorders>
              <w:top w:val="nil"/>
              <w:left w:val="nil"/>
              <w:bottom w:val="single" w:sz="4" w:space="0" w:color="auto"/>
              <w:right w:val="single" w:sz="4" w:space="0" w:color="auto"/>
            </w:tcBorders>
            <w:shd w:val="clear" w:color="auto" w:fill="auto"/>
            <w:noWrap/>
            <w:vAlign w:val="center"/>
            <w:hideMark/>
          </w:tcPr>
          <w:p w14:paraId="26FD4BE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627.24%</w:t>
            </w:r>
          </w:p>
        </w:tc>
      </w:tr>
      <w:tr w:rsidR="00083AF4" w:rsidRPr="00B91358" w14:paraId="274BBBCD"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9F4C175"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FOTOCOPIAS</w:t>
            </w:r>
          </w:p>
        </w:tc>
        <w:tc>
          <w:tcPr>
            <w:tcW w:w="1420" w:type="dxa"/>
            <w:tcBorders>
              <w:top w:val="nil"/>
              <w:left w:val="nil"/>
              <w:bottom w:val="single" w:sz="4" w:space="0" w:color="auto"/>
              <w:right w:val="single" w:sz="4" w:space="0" w:color="auto"/>
            </w:tcBorders>
            <w:shd w:val="clear" w:color="auto" w:fill="auto"/>
            <w:noWrap/>
            <w:vAlign w:val="center"/>
            <w:hideMark/>
          </w:tcPr>
          <w:p w14:paraId="0DAE51F1"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65,821,679 </w:t>
            </w:r>
          </w:p>
        </w:tc>
        <w:tc>
          <w:tcPr>
            <w:tcW w:w="1440" w:type="dxa"/>
            <w:tcBorders>
              <w:top w:val="nil"/>
              <w:left w:val="nil"/>
              <w:bottom w:val="single" w:sz="4" w:space="0" w:color="auto"/>
              <w:right w:val="single" w:sz="4" w:space="0" w:color="auto"/>
            </w:tcBorders>
            <w:shd w:val="clear" w:color="auto" w:fill="auto"/>
            <w:noWrap/>
            <w:vAlign w:val="center"/>
            <w:hideMark/>
          </w:tcPr>
          <w:p w14:paraId="738A3302"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95,868,252 </w:t>
            </w:r>
          </w:p>
        </w:tc>
        <w:tc>
          <w:tcPr>
            <w:tcW w:w="1200" w:type="dxa"/>
            <w:tcBorders>
              <w:top w:val="nil"/>
              <w:left w:val="nil"/>
              <w:bottom w:val="single" w:sz="4" w:space="0" w:color="auto"/>
              <w:right w:val="single" w:sz="4" w:space="0" w:color="auto"/>
            </w:tcBorders>
            <w:shd w:val="clear" w:color="auto" w:fill="auto"/>
            <w:noWrap/>
            <w:vAlign w:val="center"/>
            <w:hideMark/>
          </w:tcPr>
          <w:p w14:paraId="17D3D73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-30,046,573</w:t>
            </w:r>
          </w:p>
        </w:tc>
        <w:tc>
          <w:tcPr>
            <w:tcW w:w="880" w:type="dxa"/>
            <w:tcBorders>
              <w:top w:val="nil"/>
              <w:left w:val="nil"/>
              <w:bottom w:val="single" w:sz="4" w:space="0" w:color="auto"/>
              <w:right w:val="single" w:sz="4" w:space="0" w:color="auto"/>
            </w:tcBorders>
            <w:shd w:val="clear" w:color="auto" w:fill="auto"/>
            <w:noWrap/>
            <w:vAlign w:val="center"/>
            <w:hideMark/>
          </w:tcPr>
          <w:p w14:paraId="34F49D8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-31.34%</w:t>
            </w:r>
          </w:p>
        </w:tc>
      </w:tr>
      <w:tr w:rsidR="00083AF4" w:rsidRPr="00B91358" w14:paraId="1FDEC8E0"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1F708210"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COMUNICACIONES Y TRANSPORTE</w:t>
            </w:r>
          </w:p>
        </w:tc>
        <w:tc>
          <w:tcPr>
            <w:tcW w:w="1420" w:type="dxa"/>
            <w:tcBorders>
              <w:top w:val="nil"/>
              <w:left w:val="nil"/>
              <w:bottom w:val="single" w:sz="4" w:space="0" w:color="auto"/>
              <w:right w:val="single" w:sz="4" w:space="0" w:color="auto"/>
            </w:tcBorders>
            <w:shd w:val="clear" w:color="auto" w:fill="auto"/>
            <w:noWrap/>
            <w:vAlign w:val="center"/>
            <w:hideMark/>
          </w:tcPr>
          <w:p w14:paraId="3A3A6A71"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1,805,226,599 </w:t>
            </w:r>
          </w:p>
        </w:tc>
        <w:tc>
          <w:tcPr>
            <w:tcW w:w="1440" w:type="dxa"/>
            <w:tcBorders>
              <w:top w:val="nil"/>
              <w:left w:val="nil"/>
              <w:bottom w:val="single" w:sz="4" w:space="0" w:color="auto"/>
              <w:right w:val="single" w:sz="4" w:space="0" w:color="auto"/>
            </w:tcBorders>
            <w:shd w:val="clear" w:color="auto" w:fill="auto"/>
            <w:noWrap/>
            <w:vAlign w:val="center"/>
            <w:hideMark/>
          </w:tcPr>
          <w:p w14:paraId="6E12479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1,189,063,904 </w:t>
            </w:r>
          </w:p>
        </w:tc>
        <w:tc>
          <w:tcPr>
            <w:tcW w:w="1200" w:type="dxa"/>
            <w:tcBorders>
              <w:top w:val="nil"/>
              <w:left w:val="nil"/>
              <w:bottom w:val="single" w:sz="4" w:space="0" w:color="auto"/>
              <w:right w:val="single" w:sz="4" w:space="0" w:color="auto"/>
            </w:tcBorders>
            <w:shd w:val="clear" w:color="auto" w:fill="auto"/>
            <w:noWrap/>
            <w:vAlign w:val="center"/>
            <w:hideMark/>
          </w:tcPr>
          <w:p w14:paraId="4E516431"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616,162,695</w:t>
            </w:r>
          </w:p>
        </w:tc>
        <w:tc>
          <w:tcPr>
            <w:tcW w:w="880" w:type="dxa"/>
            <w:tcBorders>
              <w:top w:val="nil"/>
              <w:left w:val="nil"/>
              <w:bottom w:val="single" w:sz="4" w:space="0" w:color="auto"/>
              <w:right w:val="single" w:sz="4" w:space="0" w:color="auto"/>
            </w:tcBorders>
            <w:shd w:val="clear" w:color="auto" w:fill="auto"/>
            <w:noWrap/>
            <w:vAlign w:val="center"/>
            <w:hideMark/>
          </w:tcPr>
          <w:p w14:paraId="237D7AD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51.82%</w:t>
            </w:r>
          </w:p>
        </w:tc>
      </w:tr>
      <w:tr w:rsidR="00083AF4" w:rsidRPr="00B91358" w14:paraId="5CA87AEE"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0CCFE62"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SEGUROS GENERALES</w:t>
            </w:r>
          </w:p>
        </w:tc>
        <w:tc>
          <w:tcPr>
            <w:tcW w:w="1420" w:type="dxa"/>
            <w:tcBorders>
              <w:top w:val="nil"/>
              <w:left w:val="nil"/>
              <w:bottom w:val="single" w:sz="4" w:space="0" w:color="auto"/>
              <w:right w:val="single" w:sz="4" w:space="0" w:color="auto"/>
            </w:tcBorders>
            <w:shd w:val="clear" w:color="auto" w:fill="auto"/>
            <w:noWrap/>
            <w:vAlign w:val="center"/>
            <w:hideMark/>
          </w:tcPr>
          <w:p w14:paraId="1347DA9C"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7,379,347,557 </w:t>
            </w:r>
          </w:p>
        </w:tc>
        <w:tc>
          <w:tcPr>
            <w:tcW w:w="1440" w:type="dxa"/>
            <w:tcBorders>
              <w:top w:val="nil"/>
              <w:left w:val="nil"/>
              <w:bottom w:val="single" w:sz="4" w:space="0" w:color="auto"/>
              <w:right w:val="single" w:sz="4" w:space="0" w:color="auto"/>
            </w:tcBorders>
            <w:shd w:val="clear" w:color="auto" w:fill="auto"/>
            <w:noWrap/>
            <w:vAlign w:val="center"/>
            <w:hideMark/>
          </w:tcPr>
          <w:p w14:paraId="469A4074"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5,523,034,491 </w:t>
            </w:r>
          </w:p>
        </w:tc>
        <w:tc>
          <w:tcPr>
            <w:tcW w:w="1200" w:type="dxa"/>
            <w:tcBorders>
              <w:top w:val="nil"/>
              <w:left w:val="nil"/>
              <w:bottom w:val="single" w:sz="4" w:space="0" w:color="auto"/>
              <w:right w:val="single" w:sz="4" w:space="0" w:color="auto"/>
            </w:tcBorders>
            <w:shd w:val="clear" w:color="auto" w:fill="auto"/>
            <w:noWrap/>
            <w:vAlign w:val="center"/>
            <w:hideMark/>
          </w:tcPr>
          <w:p w14:paraId="26A77B4F"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1,856,313,066</w:t>
            </w:r>
          </w:p>
        </w:tc>
        <w:tc>
          <w:tcPr>
            <w:tcW w:w="880" w:type="dxa"/>
            <w:tcBorders>
              <w:top w:val="nil"/>
              <w:left w:val="nil"/>
              <w:bottom w:val="single" w:sz="4" w:space="0" w:color="auto"/>
              <w:right w:val="single" w:sz="4" w:space="0" w:color="auto"/>
            </w:tcBorders>
            <w:shd w:val="clear" w:color="auto" w:fill="auto"/>
            <w:noWrap/>
            <w:vAlign w:val="center"/>
            <w:hideMark/>
          </w:tcPr>
          <w:p w14:paraId="02323F0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33.61%</w:t>
            </w:r>
          </w:p>
        </w:tc>
      </w:tr>
      <w:tr w:rsidR="00083AF4" w:rsidRPr="00B91358" w14:paraId="24DCB762"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680EDAE"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COMBUSTIBLES Y LUBRICANTES</w:t>
            </w:r>
          </w:p>
        </w:tc>
        <w:tc>
          <w:tcPr>
            <w:tcW w:w="1420" w:type="dxa"/>
            <w:tcBorders>
              <w:top w:val="nil"/>
              <w:left w:val="nil"/>
              <w:bottom w:val="single" w:sz="4" w:space="0" w:color="auto"/>
              <w:right w:val="single" w:sz="4" w:space="0" w:color="auto"/>
            </w:tcBorders>
            <w:shd w:val="clear" w:color="auto" w:fill="auto"/>
            <w:noWrap/>
            <w:vAlign w:val="center"/>
            <w:hideMark/>
          </w:tcPr>
          <w:p w14:paraId="5B2B084C"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256,666,663 </w:t>
            </w:r>
          </w:p>
        </w:tc>
        <w:tc>
          <w:tcPr>
            <w:tcW w:w="1440" w:type="dxa"/>
            <w:tcBorders>
              <w:top w:val="nil"/>
              <w:left w:val="nil"/>
              <w:bottom w:val="single" w:sz="4" w:space="0" w:color="auto"/>
              <w:right w:val="single" w:sz="4" w:space="0" w:color="auto"/>
            </w:tcBorders>
            <w:shd w:val="clear" w:color="auto" w:fill="auto"/>
            <w:noWrap/>
            <w:vAlign w:val="center"/>
            <w:hideMark/>
          </w:tcPr>
          <w:p w14:paraId="1CEA2E84"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231,618,524 </w:t>
            </w:r>
          </w:p>
        </w:tc>
        <w:tc>
          <w:tcPr>
            <w:tcW w:w="1200" w:type="dxa"/>
            <w:tcBorders>
              <w:top w:val="nil"/>
              <w:left w:val="nil"/>
              <w:bottom w:val="single" w:sz="4" w:space="0" w:color="auto"/>
              <w:right w:val="single" w:sz="4" w:space="0" w:color="auto"/>
            </w:tcBorders>
            <w:shd w:val="clear" w:color="auto" w:fill="auto"/>
            <w:noWrap/>
            <w:vAlign w:val="center"/>
            <w:hideMark/>
          </w:tcPr>
          <w:p w14:paraId="5F074ECD"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25,048,139</w:t>
            </w:r>
          </w:p>
        </w:tc>
        <w:tc>
          <w:tcPr>
            <w:tcW w:w="880" w:type="dxa"/>
            <w:tcBorders>
              <w:top w:val="nil"/>
              <w:left w:val="nil"/>
              <w:bottom w:val="single" w:sz="4" w:space="0" w:color="auto"/>
              <w:right w:val="single" w:sz="4" w:space="0" w:color="auto"/>
            </w:tcBorders>
            <w:shd w:val="clear" w:color="auto" w:fill="auto"/>
            <w:noWrap/>
            <w:vAlign w:val="center"/>
            <w:hideMark/>
          </w:tcPr>
          <w:p w14:paraId="3666E7F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10.81%</w:t>
            </w:r>
          </w:p>
        </w:tc>
      </w:tr>
      <w:tr w:rsidR="00083AF4" w:rsidRPr="00B91358" w14:paraId="6F507622"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273F23C"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SERVICIOS DE ASEO, CAFETERÍA, RESTAURANTE </w:t>
            </w:r>
          </w:p>
        </w:tc>
        <w:tc>
          <w:tcPr>
            <w:tcW w:w="1420" w:type="dxa"/>
            <w:tcBorders>
              <w:top w:val="nil"/>
              <w:left w:val="nil"/>
              <w:bottom w:val="single" w:sz="4" w:space="0" w:color="auto"/>
              <w:right w:val="single" w:sz="4" w:space="0" w:color="auto"/>
            </w:tcBorders>
            <w:shd w:val="clear" w:color="auto" w:fill="auto"/>
            <w:noWrap/>
            <w:vAlign w:val="center"/>
            <w:hideMark/>
          </w:tcPr>
          <w:p w14:paraId="7520B42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1,393,677,250 </w:t>
            </w:r>
          </w:p>
        </w:tc>
        <w:tc>
          <w:tcPr>
            <w:tcW w:w="1440" w:type="dxa"/>
            <w:tcBorders>
              <w:top w:val="nil"/>
              <w:left w:val="nil"/>
              <w:bottom w:val="single" w:sz="4" w:space="0" w:color="auto"/>
              <w:right w:val="single" w:sz="4" w:space="0" w:color="auto"/>
            </w:tcBorders>
            <w:shd w:val="clear" w:color="auto" w:fill="auto"/>
            <w:noWrap/>
            <w:vAlign w:val="center"/>
            <w:hideMark/>
          </w:tcPr>
          <w:p w14:paraId="02ABF32B"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1,166,921,749 </w:t>
            </w:r>
          </w:p>
        </w:tc>
        <w:tc>
          <w:tcPr>
            <w:tcW w:w="1200" w:type="dxa"/>
            <w:tcBorders>
              <w:top w:val="nil"/>
              <w:left w:val="nil"/>
              <w:bottom w:val="single" w:sz="4" w:space="0" w:color="auto"/>
              <w:right w:val="single" w:sz="4" w:space="0" w:color="auto"/>
            </w:tcBorders>
            <w:shd w:val="clear" w:color="auto" w:fill="auto"/>
            <w:noWrap/>
            <w:vAlign w:val="center"/>
            <w:hideMark/>
          </w:tcPr>
          <w:p w14:paraId="199C78B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226,755,501</w:t>
            </w:r>
          </w:p>
        </w:tc>
        <w:tc>
          <w:tcPr>
            <w:tcW w:w="880" w:type="dxa"/>
            <w:tcBorders>
              <w:top w:val="nil"/>
              <w:left w:val="nil"/>
              <w:bottom w:val="single" w:sz="4" w:space="0" w:color="auto"/>
              <w:right w:val="single" w:sz="4" w:space="0" w:color="auto"/>
            </w:tcBorders>
            <w:shd w:val="clear" w:color="auto" w:fill="auto"/>
            <w:noWrap/>
            <w:vAlign w:val="center"/>
            <w:hideMark/>
          </w:tcPr>
          <w:p w14:paraId="22CEB70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19.43%</w:t>
            </w:r>
          </w:p>
        </w:tc>
      </w:tr>
      <w:tr w:rsidR="00083AF4" w:rsidRPr="00B91358" w14:paraId="2F5DA737"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7CD0FA72"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ORGANIZACIÓN DE EVENTOS</w:t>
            </w:r>
          </w:p>
        </w:tc>
        <w:tc>
          <w:tcPr>
            <w:tcW w:w="1420" w:type="dxa"/>
            <w:tcBorders>
              <w:top w:val="nil"/>
              <w:left w:val="nil"/>
              <w:bottom w:val="single" w:sz="4" w:space="0" w:color="auto"/>
              <w:right w:val="single" w:sz="4" w:space="0" w:color="auto"/>
            </w:tcBorders>
            <w:shd w:val="clear" w:color="auto" w:fill="auto"/>
            <w:noWrap/>
            <w:vAlign w:val="center"/>
            <w:hideMark/>
          </w:tcPr>
          <w:p w14:paraId="7824F09B"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713,797,884 </w:t>
            </w:r>
          </w:p>
        </w:tc>
        <w:tc>
          <w:tcPr>
            <w:tcW w:w="1440" w:type="dxa"/>
            <w:tcBorders>
              <w:top w:val="nil"/>
              <w:left w:val="nil"/>
              <w:bottom w:val="single" w:sz="4" w:space="0" w:color="auto"/>
              <w:right w:val="single" w:sz="4" w:space="0" w:color="auto"/>
            </w:tcBorders>
            <w:shd w:val="clear" w:color="auto" w:fill="auto"/>
            <w:noWrap/>
            <w:vAlign w:val="center"/>
            <w:hideMark/>
          </w:tcPr>
          <w:p w14:paraId="3C2F5AA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234,044,483 </w:t>
            </w:r>
          </w:p>
        </w:tc>
        <w:tc>
          <w:tcPr>
            <w:tcW w:w="1200" w:type="dxa"/>
            <w:tcBorders>
              <w:top w:val="nil"/>
              <w:left w:val="nil"/>
              <w:bottom w:val="single" w:sz="4" w:space="0" w:color="auto"/>
              <w:right w:val="single" w:sz="4" w:space="0" w:color="auto"/>
            </w:tcBorders>
            <w:shd w:val="clear" w:color="auto" w:fill="auto"/>
            <w:noWrap/>
            <w:vAlign w:val="center"/>
            <w:hideMark/>
          </w:tcPr>
          <w:p w14:paraId="7FB490C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479,753,401</w:t>
            </w:r>
          </w:p>
        </w:tc>
        <w:tc>
          <w:tcPr>
            <w:tcW w:w="880" w:type="dxa"/>
            <w:tcBorders>
              <w:top w:val="nil"/>
              <w:left w:val="nil"/>
              <w:bottom w:val="single" w:sz="4" w:space="0" w:color="auto"/>
              <w:right w:val="single" w:sz="4" w:space="0" w:color="auto"/>
            </w:tcBorders>
            <w:shd w:val="clear" w:color="auto" w:fill="auto"/>
            <w:noWrap/>
            <w:vAlign w:val="center"/>
            <w:hideMark/>
          </w:tcPr>
          <w:p w14:paraId="4D2213C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204.98%</w:t>
            </w:r>
          </w:p>
        </w:tc>
      </w:tr>
      <w:tr w:rsidR="00083AF4" w:rsidRPr="00B91358" w14:paraId="35E52FF6"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36E4AE5D"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ELEMENTOS DE ASEO, LAVANDERIA </w:t>
            </w:r>
          </w:p>
        </w:tc>
        <w:tc>
          <w:tcPr>
            <w:tcW w:w="1420" w:type="dxa"/>
            <w:tcBorders>
              <w:top w:val="nil"/>
              <w:left w:val="nil"/>
              <w:bottom w:val="single" w:sz="4" w:space="0" w:color="auto"/>
              <w:right w:val="single" w:sz="4" w:space="0" w:color="auto"/>
            </w:tcBorders>
            <w:shd w:val="clear" w:color="auto" w:fill="auto"/>
            <w:noWrap/>
            <w:vAlign w:val="center"/>
            <w:hideMark/>
          </w:tcPr>
          <w:p w14:paraId="7E020743"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14:paraId="2EDDA19B"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885,811 </w:t>
            </w:r>
          </w:p>
        </w:tc>
        <w:tc>
          <w:tcPr>
            <w:tcW w:w="1200" w:type="dxa"/>
            <w:tcBorders>
              <w:top w:val="nil"/>
              <w:left w:val="nil"/>
              <w:bottom w:val="single" w:sz="4" w:space="0" w:color="auto"/>
              <w:right w:val="single" w:sz="4" w:space="0" w:color="auto"/>
            </w:tcBorders>
            <w:shd w:val="clear" w:color="auto" w:fill="auto"/>
            <w:noWrap/>
            <w:vAlign w:val="center"/>
            <w:hideMark/>
          </w:tcPr>
          <w:p w14:paraId="078D925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-885,811</w:t>
            </w:r>
          </w:p>
        </w:tc>
        <w:tc>
          <w:tcPr>
            <w:tcW w:w="880" w:type="dxa"/>
            <w:tcBorders>
              <w:top w:val="nil"/>
              <w:left w:val="nil"/>
              <w:bottom w:val="single" w:sz="4" w:space="0" w:color="auto"/>
              <w:right w:val="single" w:sz="4" w:space="0" w:color="auto"/>
            </w:tcBorders>
            <w:shd w:val="clear" w:color="auto" w:fill="auto"/>
            <w:noWrap/>
            <w:vAlign w:val="center"/>
            <w:hideMark/>
          </w:tcPr>
          <w:p w14:paraId="5D342E6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-100.00%</w:t>
            </w:r>
          </w:p>
        </w:tc>
      </w:tr>
      <w:tr w:rsidR="00083AF4" w:rsidRPr="00B91358" w14:paraId="131C4DDF"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346DC496"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GASTOS LEGALES</w:t>
            </w:r>
          </w:p>
        </w:tc>
        <w:tc>
          <w:tcPr>
            <w:tcW w:w="1420" w:type="dxa"/>
            <w:tcBorders>
              <w:top w:val="nil"/>
              <w:left w:val="nil"/>
              <w:bottom w:val="single" w:sz="4" w:space="0" w:color="auto"/>
              <w:right w:val="single" w:sz="4" w:space="0" w:color="auto"/>
            </w:tcBorders>
            <w:shd w:val="clear" w:color="auto" w:fill="auto"/>
            <w:noWrap/>
            <w:vAlign w:val="center"/>
            <w:hideMark/>
          </w:tcPr>
          <w:p w14:paraId="721B8E9F"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63,261,021 </w:t>
            </w:r>
          </w:p>
        </w:tc>
        <w:tc>
          <w:tcPr>
            <w:tcW w:w="1440" w:type="dxa"/>
            <w:tcBorders>
              <w:top w:val="nil"/>
              <w:left w:val="nil"/>
              <w:bottom w:val="single" w:sz="4" w:space="0" w:color="auto"/>
              <w:right w:val="single" w:sz="4" w:space="0" w:color="auto"/>
            </w:tcBorders>
            <w:shd w:val="clear" w:color="auto" w:fill="auto"/>
            <w:noWrap/>
            <w:vAlign w:val="center"/>
            <w:hideMark/>
          </w:tcPr>
          <w:p w14:paraId="263B6BB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12,229,778 </w:t>
            </w:r>
          </w:p>
        </w:tc>
        <w:tc>
          <w:tcPr>
            <w:tcW w:w="1200" w:type="dxa"/>
            <w:tcBorders>
              <w:top w:val="nil"/>
              <w:left w:val="nil"/>
              <w:bottom w:val="single" w:sz="4" w:space="0" w:color="auto"/>
              <w:right w:val="single" w:sz="4" w:space="0" w:color="auto"/>
            </w:tcBorders>
            <w:shd w:val="clear" w:color="auto" w:fill="auto"/>
            <w:noWrap/>
            <w:vAlign w:val="center"/>
            <w:hideMark/>
          </w:tcPr>
          <w:p w14:paraId="509F1794"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51,031,243</w:t>
            </w:r>
          </w:p>
        </w:tc>
        <w:tc>
          <w:tcPr>
            <w:tcW w:w="880" w:type="dxa"/>
            <w:tcBorders>
              <w:top w:val="nil"/>
              <w:left w:val="nil"/>
              <w:bottom w:val="single" w:sz="4" w:space="0" w:color="auto"/>
              <w:right w:val="single" w:sz="4" w:space="0" w:color="auto"/>
            </w:tcBorders>
            <w:shd w:val="clear" w:color="auto" w:fill="auto"/>
            <w:noWrap/>
            <w:vAlign w:val="center"/>
            <w:hideMark/>
          </w:tcPr>
          <w:p w14:paraId="02585E0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417.27%</w:t>
            </w:r>
          </w:p>
        </w:tc>
      </w:tr>
      <w:tr w:rsidR="00083AF4" w:rsidRPr="00B91358" w14:paraId="02442B19"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3FE42C3F"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COSTAS PROCESALES</w:t>
            </w:r>
          </w:p>
        </w:tc>
        <w:tc>
          <w:tcPr>
            <w:tcW w:w="1420" w:type="dxa"/>
            <w:tcBorders>
              <w:top w:val="nil"/>
              <w:left w:val="nil"/>
              <w:bottom w:val="single" w:sz="4" w:space="0" w:color="auto"/>
              <w:right w:val="single" w:sz="4" w:space="0" w:color="auto"/>
            </w:tcBorders>
            <w:shd w:val="clear" w:color="auto" w:fill="auto"/>
            <w:noWrap/>
            <w:vAlign w:val="center"/>
            <w:hideMark/>
          </w:tcPr>
          <w:p w14:paraId="2F823B43"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20,193,273 </w:t>
            </w:r>
          </w:p>
        </w:tc>
        <w:tc>
          <w:tcPr>
            <w:tcW w:w="1440" w:type="dxa"/>
            <w:tcBorders>
              <w:top w:val="nil"/>
              <w:left w:val="nil"/>
              <w:bottom w:val="single" w:sz="4" w:space="0" w:color="auto"/>
              <w:right w:val="single" w:sz="4" w:space="0" w:color="auto"/>
            </w:tcBorders>
            <w:shd w:val="clear" w:color="auto" w:fill="auto"/>
            <w:noWrap/>
            <w:vAlign w:val="center"/>
            <w:hideMark/>
          </w:tcPr>
          <w:p w14:paraId="3228530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89,413,791 </w:t>
            </w:r>
          </w:p>
        </w:tc>
        <w:tc>
          <w:tcPr>
            <w:tcW w:w="1200" w:type="dxa"/>
            <w:tcBorders>
              <w:top w:val="nil"/>
              <w:left w:val="nil"/>
              <w:bottom w:val="single" w:sz="4" w:space="0" w:color="auto"/>
              <w:right w:val="single" w:sz="4" w:space="0" w:color="auto"/>
            </w:tcBorders>
            <w:shd w:val="clear" w:color="auto" w:fill="auto"/>
            <w:noWrap/>
            <w:vAlign w:val="center"/>
            <w:hideMark/>
          </w:tcPr>
          <w:p w14:paraId="50061DA4"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-69,220,518</w:t>
            </w:r>
          </w:p>
        </w:tc>
        <w:tc>
          <w:tcPr>
            <w:tcW w:w="880" w:type="dxa"/>
            <w:tcBorders>
              <w:top w:val="nil"/>
              <w:left w:val="nil"/>
              <w:bottom w:val="single" w:sz="4" w:space="0" w:color="auto"/>
              <w:right w:val="single" w:sz="4" w:space="0" w:color="auto"/>
            </w:tcBorders>
            <w:shd w:val="clear" w:color="auto" w:fill="auto"/>
            <w:noWrap/>
            <w:vAlign w:val="center"/>
            <w:hideMark/>
          </w:tcPr>
          <w:p w14:paraId="15ABFE3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-77.42%</w:t>
            </w:r>
          </w:p>
        </w:tc>
      </w:tr>
      <w:tr w:rsidR="00083AF4" w:rsidRPr="00B91358" w14:paraId="3AD6AAB6"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C360A85"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MITIGACION DE RIESGOS</w:t>
            </w:r>
          </w:p>
        </w:tc>
        <w:tc>
          <w:tcPr>
            <w:tcW w:w="1420" w:type="dxa"/>
            <w:tcBorders>
              <w:top w:val="nil"/>
              <w:left w:val="nil"/>
              <w:bottom w:val="single" w:sz="4" w:space="0" w:color="auto"/>
              <w:right w:val="single" w:sz="4" w:space="0" w:color="auto"/>
            </w:tcBorders>
            <w:shd w:val="clear" w:color="auto" w:fill="auto"/>
            <w:noWrap/>
            <w:vAlign w:val="center"/>
            <w:hideMark/>
          </w:tcPr>
          <w:p w14:paraId="103E38C9"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21,116,520 </w:t>
            </w:r>
          </w:p>
        </w:tc>
        <w:tc>
          <w:tcPr>
            <w:tcW w:w="1440" w:type="dxa"/>
            <w:tcBorders>
              <w:top w:val="nil"/>
              <w:left w:val="nil"/>
              <w:bottom w:val="single" w:sz="4" w:space="0" w:color="auto"/>
              <w:right w:val="single" w:sz="4" w:space="0" w:color="auto"/>
            </w:tcBorders>
            <w:shd w:val="clear" w:color="auto" w:fill="auto"/>
            <w:noWrap/>
            <w:vAlign w:val="center"/>
            <w:hideMark/>
          </w:tcPr>
          <w:p w14:paraId="3E151E6C"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0 </w:t>
            </w:r>
          </w:p>
        </w:tc>
        <w:tc>
          <w:tcPr>
            <w:tcW w:w="1200" w:type="dxa"/>
            <w:tcBorders>
              <w:top w:val="nil"/>
              <w:left w:val="nil"/>
              <w:bottom w:val="single" w:sz="4" w:space="0" w:color="auto"/>
              <w:right w:val="single" w:sz="4" w:space="0" w:color="auto"/>
            </w:tcBorders>
            <w:shd w:val="clear" w:color="auto" w:fill="auto"/>
            <w:noWrap/>
            <w:vAlign w:val="center"/>
            <w:hideMark/>
          </w:tcPr>
          <w:p w14:paraId="4B3CF4A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21,116,520</w:t>
            </w:r>
          </w:p>
        </w:tc>
        <w:tc>
          <w:tcPr>
            <w:tcW w:w="880" w:type="dxa"/>
            <w:tcBorders>
              <w:top w:val="nil"/>
              <w:left w:val="nil"/>
              <w:bottom w:val="single" w:sz="4" w:space="0" w:color="auto"/>
              <w:right w:val="single" w:sz="4" w:space="0" w:color="auto"/>
            </w:tcBorders>
            <w:shd w:val="clear" w:color="auto" w:fill="auto"/>
            <w:noWrap/>
            <w:vAlign w:val="center"/>
            <w:hideMark/>
          </w:tcPr>
          <w:p w14:paraId="7C82A3E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0.00%</w:t>
            </w:r>
          </w:p>
        </w:tc>
      </w:tr>
      <w:tr w:rsidR="00083AF4" w:rsidRPr="00B91358" w14:paraId="7BDDDDA5"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85FE135"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COMISIONES</w:t>
            </w:r>
          </w:p>
        </w:tc>
        <w:tc>
          <w:tcPr>
            <w:tcW w:w="1420" w:type="dxa"/>
            <w:tcBorders>
              <w:top w:val="nil"/>
              <w:left w:val="nil"/>
              <w:bottom w:val="single" w:sz="4" w:space="0" w:color="auto"/>
              <w:right w:val="single" w:sz="4" w:space="0" w:color="auto"/>
            </w:tcBorders>
            <w:shd w:val="clear" w:color="auto" w:fill="auto"/>
            <w:noWrap/>
            <w:vAlign w:val="center"/>
            <w:hideMark/>
          </w:tcPr>
          <w:p w14:paraId="714F86F7"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705,567,028 </w:t>
            </w:r>
          </w:p>
        </w:tc>
        <w:tc>
          <w:tcPr>
            <w:tcW w:w="1440" w:type="dxa"/>
            <w:tcBorders>
              <w:top w:val="nil"/>
              <w:left w:val="nil"/>
              <w:bottom w:val="single" w:sz="4" w:space="0" w:color="auto"/>
              <w:right w:val="single" w:sz="4" w:space="0" w:color="auto"/>
            </w:tcBorders>
            <w:shd w:val="clear" w:color="auto" w:fill="auto"/>
            <w:noWrap/>
            <w:vAlign w:val="center"/>
            <w:hideMark/>
          </w:tcPr>
          <w:p w14:paraId="12F9B45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46,095,892 </w:t>
            </w:r>
          </w:p>
        </w:tc>
        <w:tc>
          <w:tcPr>
            <w:tcW w:w="1200" w:type="dxa"/>
            <w:tcBorders>
              <w:top w:val="nil"/>
              <w:left w:val="nil"/>
              <w:bottom w:val="single" w:sz="4" w:space="0" w:color="auto"/>
              <w:right w:val="single" w:sz="4" w:space="0" w:color="auto"/>
            </w:tcBorders>
            <w:shd w:val="clear" w:color="auto" w:fill="auto"/>
            <w:noWrap/>
            <w:vAlign w:val="center"/>
            <w:hideMark/>
          </w:tcPr>
          <w:p w14:paraId="1087EB70"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659,471,136</w:t>
            </w:r>
          </w:p>
        </w:tc>
        <w:tc>
          <w:tcPr>
            <w:tcW w:w="880" w:type="dxa"/>
            <w:tcBorders>
              <w:top w:val="nil"/>
              <w:left w:val="nil"/>
              <w:bottom w:val="single" w:sz="4" w:space="0" w:color="auto"/>
              <w:right w:val="single" w:sz="4" w:space="0" w:color="auto"/>
            </w:tcBorders>
            <w:shd w:val="clear" w:color="auto" w:fill="auto"/>
            <w:noWrap/>
            <w:vAlign w:val="center"/>
            <w:hideMark/>
          </w:tcPr>
          <w:p w14:paraId="495FD0E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1430.65%</w:t>
            </w:r>
          </w:p>
        </w:tc>
      </w:tr>
      <w:tr w:rsidR="00083AF4" w:rsidRPr="00B91358" w14:paraId="19199BB9"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98CF7D5"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HONORARIOS</w:t>
            </w:r>
          </w:p>
        </w:tc>
        <w:tc>
          <w:tcPr>
            <w:tcW w:w="1420" w:type="dxa"/>
            <w:tcBorders>
              <w:top w:val="nil"/>
              <w:left w:val="nil"/>
              <w:bottom w:val="single" w:sz="4" w:space="0" w:color="auto"/>
              <w:right w:val="single" w:sz="4" w:space="0" w:color="auto"/>
            </w:tcBorders>
            <w:shd w:val="clear" w:color="auto" w:fill="auto"/>
            <w:noWrap/>
            <w:vAlign w:val="center"/>
            <w:hideMark/>
          </w:tcPr>
          <w:p w14:paraId="000C67A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86,305,074,696 </w:t>
            </w:r>
          </w:p>
        </w:tc>
        <w:tc>
          <w:tcPr>
            <w:tcW w:w="1440" w:type="dxa"/>
            <w:tcBorders>
              <w:top w:val="nil"/>
              <w:left w:val="nil"/>
              <w:bottom w:val="single" w:sz="4" w:space="0" w:color="auto"/>
              <w:right w:val="single" w:sz="4" w:space="0" w:color="auto"/>
            </w:tcBorders>
            <w:shd w:val="clear" w:color="auto" w:fill="auto"/>
            <w:noWrap/>
            <w:vAlign w:val="center"/>
            <w:hideMark/>
          </w:tcPr>
          <w:p w14:paraId="76F0E06E"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85,163,261,209 </w:t>
            </w:r>
          </w:p>
        </w:tc>
        <w:tc>
          <w:tcPr>
            <w:tcW w:w="1200" w:type="dxa"/>
            <w:tcBorders>
              <w:top w:val="nil"/>
              <w:left w:val="nil"/>
              <w:bottom w:val="single" w:sz="4" w:space="0" w:color="auto"/>
              <w:right w:val="single" w:sz="4" w:space="0" w:color="auto"/>
            </w:tcBorders>
            <w:shd w:val="clear" w:color="auto" w:fill="auto"/>
            <w:noWrap/>
            <w:vAlign w:val="center"/>
            <w:hideMark/>
          </w:tcPr>
          <w:p w14:paraId="11DEE4B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1,141,813,487</w:t>
            </w:r>
          </w:p>
        </w:tc>
        <w:tc>
          <w:tcPr>
            <w:tcW w:w="880" w:type="dxa"/>
            <w:tcBorders>
              <w:top w:val="nil"/>
              <w:left w:val="nil"/>
              <w:bottom w:val="single" w:sz="4" w:space="0" w:color="auto"/>
              <w:right w:val="single" w:sz="4" w:space="0" w:color="auto"/>
            </w:tcBorders>
            <w:shd w:val="clear" w:color="auto" w:fill="auto"/>
            <w:noWrap/>
            <w:vAlign w:val="center"/>
            <w:hideMark/>
          </w:tcPr>
          <w:p w14:paraId="2EF8C7E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1.34%</w:t>
            </w:r>
          </w:p>
        </w:tc>
      </w:tr>
      <w:tr w:rsidR="00083AF4" w:rsidRPr="00B91358" w14:paraId="57239CB8"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677C188"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SERVICIOS</w:t>
            </w:r>
          </w:p>
        </w:tc>
        <w:tc>
          <w:tcPr>
            <w:tcW w:w="1420" w:type="dxa"/>
            <w:tcBorders>
              <w:top w:val="nil"/>
              <w:left w:val="nil"/>
              <w:bottom w:val="single" w:sz="4" w:space="0" w:color="auto"/>
              <w:right w:val="single" w:sz="4" w:space="0" w:color="auto"/>
            </w:tcBorders>
            <w:shd w:val="clear" w:color="auto" w:fill="auto"/>
            <w:noWrap/>
            <w:vAlign w:val="center"/>
            <w:hideMark/>
          </w:tcPr>
          <w:p w14:paraId="3B483029"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10,804,908,292 </w:t>
            </w:r>
          </w:p>
        </w:tc>
        <w:tc>
          <w:tcPr>
            <w:tcW w:w="1440" w:type="dxa"/>
            <w:tcBorders>
              <w:top w:val="nil"/>
              <w:left w:val="nil"/>
              <w:bottom w:val="single" w:sz="4" w:space="0" w:color="auto"/>
              <w:right w:val="single" w:sz="4" w:space="0" w:color="auto"/>
            </w:tcBorders>
            <w:shd w:val="clear" w:color="auto" w:fill="auto"/>
            <w:noWrap/>
            <w:vAlign w:val="center"/>
            <w:hideMark/>
          </w:tcPr>
          <w:p w14:paraId="5B6C5FBF"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10,122,383,338 </w:t>
            </w:r>
          </w:p>
        </w:tc>
        <w:tc>
          <w:tcPr>
            <w:tcW w:w="1200" w:type="dxa"/>
            <w:tcBorders>
              <w:top w:val="nil"/>
              <w:left w:val="nil"/>
              <w:bottom w:val="single" w:sz="4" w:space="0" w:color="auto"/>
              <w:right w:val="single" w:sz="4" w:space="0" w:color="auto"/>
            </w:tcBorders>
            <w:shd w:val="clear" w:color="auto" w:fill="auto"/>
            <w:noWrap/>
            <w:vAlign w:val="center"/>
            <w:hideMark/>
          </w:tcPr>
          <w:p w14:paraId="67A20DD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682,524,954</w:t>
            </w:r>
          </w:p>
        </w:tc>
        <w:tc>
          <w:tcPr>
            <w:tcW w:w="880" w:type="dxa"/>
            <w:tcBorders>
              <w:top w:val="nil"/>
              <w:left w:val="nil"/>
              <w:bottom w:val="single" w:sz="4" w:space="0" w:color="auto"/>
              <w:right w:val="single" w:sz="4" w:space="0" w:color="auto"/>
            </w:tcBorders>
            <w:shd w:val="clear" w:color="auto" w:fill="auto"/>
            <w:noWrap/>
            <w:vAlign w:val="center"/>
            <w:hideMark/>
          </w:tcPr>
          <w:p w14:paraId="4EF9905A"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6.74%</w:t>
            </w:r>
          </w:p>
        </w:tc>
      </w:tr>
      <w:tr w:rsidR="00083AF4" w:rsidRPr="00B91358" w14:paraId="5B2C4764"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C401863" w14:textId="77777777" w:rsidR="00083AF4" w:rsidRPr="00B91358" w:rsidRDefault="00083AF4" w:rsidP="00AB4D08">
            <w:pPr>
              <w:spacing w:after="0" w:line="240" w:lineRule="auto"/>
              <w:contextualSpacing/>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OTROS GASTOS GENERALES</w:t>
            </w:r>
          </w:p>
        </w:tc>
        <w:tc>
          <w:tcPr>
            <w:tcW w:w="1420" w:type="dxa"/>
            <w:tcBorders>
              <w:top w:val="nil"/>
              <w:left w:val="nil"/>
              <w:bottom w:val="single" w:sz="4" w:space="0" w:color="auto"/>
              <w:right w:val="single" w:sz="4" w:space="0" w:color="auto"/>
            </w:tcBorders>
            <w:shd w:val="clear" w:color="auto" w:fill="auto"/>
            <w:noWrap/>
            <w:vAlign w:val="center"/>
            <w:hideMark/>
          </w:tcPr>
          <w:p w14:paraId="11F443C4"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3,688,698,334 </w:t>
            </w:r>
          </w:p>
        </w:tc>
        <w:tc>
          <w:tcPr>
            <w:tcW w:w="1440" w:type="dxa"/>
            <w:tcBorders>
              <w:top w:val="nil"/>
              <w:left w:val="nil"/>
              <w:bottom w:val="single" w:sz="4" w:space="0" w:color="auto"/>
              <w:right w:val="single" w:sz="4" w:space="0" w:color="auto"/>
            </w:tcBorders>
            <w:shd w:val="clear" w:color="auto" w:fill="auto"/>
            <w:noWrap/>
            <w:vAlign w:val="center"/>
            <w:hideMark/>
          </w:tcPr>
          <w:p w14:paraId="62D879B6"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 xml:space="preserve">      3,446,722,761 </w:t>
            </w:r>
          </w:p>
        </w:tc>
        <w:tc>
          <w:tcPr>
            <w:tcW w:w="1200" w:type="dxa"/>
            <w:tcBorders>
              <w:top w:val="nil"/>
              <w:left w:val="nil"/>
              <w:bottom w:val="single" w:sz="4" w:space="0" w:color="auto"/>
              <w:right w:val="single" w:sz="4" w:space="0" w:color="auto"/>
            </w:tcBorders>
            <w:shd w:val="clear" w:color="auto" w:fill="auto"/>
            <w:noWrap/>
            <w:vAlign w:val="center"/>
            <w:hideMark/>
          </w:tcPr>
          <w:p w14:paraId="25C22E35"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241,975,574</w:t>
            </w:r>
          </w:p>
        </w:tc>
        <w:tc>
          <w:tcPr>
            <w:tcW w:w="880" w:type="dxa"/>
            <w:tcBorders>
              <w:top w:val="nil"/>
              <w:left w:val="nil"/>
              <w:bottom w:val="single" w:sz="4" w:space="0" w:color="auto"/>
              <w:right w:val="single" w:sz="4" w:space="0" w:color="auto"/>
            </w:tcBorders>
            <w:shd w:val="clear" w:color="auto" w:fill="auto"/>
            <w:noWrap/>
            <w:vAlign w:val="center"/>
            <w:hideMark/>
          </w:tcPr>
          <w:p w14:paraId="25738118" w14:textId="77777777" w:rsidR="00083AF4" w:rsidRPr="00B91358" w:rsidRDefault="00083AF4" w:rsidP="00AB4D08">
            <w:pPr>
              <w:spacing w:after="0" w:line="240" w:lineRule="auto"/>
              <w:contextualSpacing/>
              <w:jc w:val="right"/>
              <w:rPr>
                <w:rFonts w:ascii="Times New Roman" w:eastAsia="Times New Roman" w:hAnsi="Times New Roman"/>
                <w:color w:val="000000"/>
                <w:sz w:val="16"/>
                <w:szCs w:val="16"/>
              </w:rPr>
            </w:pPr>
            <w:r w:rsidRPr="00B91358">
              <w:rPr>
                <w:rFonts w:ascii="Times New Roman" w:eastAsia="Times New Roman" w:hAnsi="Times New Roman"/>
                <w:color w:val="000000"/>
                <w:sz w:val="16"/>
                <w:szCs w:val="16"/>
              </w:rPr>
              <w:t>7.02%</w:t>
            </w:r>
          </w:p>
        </w:tc>
      </w:tr>
      <w:tr w:rsidR="00083AF4" w:rsidRPr="00B91358" w14:paraId="75402C5F" w14:textId="77777777" w:rsidTr="00A102E6">
        <w:trPr>
          <w:trHeight w:val="25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CBBA0B8" w14:textId="77777777" w:rsidR="00083AF4" w:rsidRPr="00B91358" w:rsidRDefault="00083AF4" w:rsidP="00AB4D08">
            <w:pPr>
              <w:spacing w:after="0" w:line="240" w:lineRule="auto"/>
              <w:contextualSpacing/>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TOTAL</w:t>
            </w:r>
          </w:p>
        </w:tc>
        <w:tc>
          <w:tcPr>
            <w:tcW w:w="1420" w:type="dxa"/>
            <w:tcBorders>
              <w:top w:val="nil"/>
              <w:left w:val="nil"/>
              <w:bottom w:val="single" w:sz="4" w:space="0" w:color="auto"/>
              <w:right w:val="single" w:sz="4" w:space="0" w:color="auto"/>
            </w:tcBorders>
            <w:shd w:val="clear" w:color="auto" w:fill="auto"/>
            <w:noWrap/>
            <w:vAlign w:val="center"/>
            <w:hideMark/>
          </w:tcPr>
          <w:p w14:paraId="55118111" w14:textId="77777777" w:rsidR="00083AF4" w:rsidRPr="00B91358" w:rsidRDefault="00083AF4" w:rsidP="00AB4D08">
            <w:pPr>
              <w:spacing w:after="0" w:line="240" w:lineRule="auto"/>
              <w:contextualSpacing/>
              <w:jc w:val="right"/>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 xml:space="preserve"> 129,941,185,594 </w:t>
            </w:r>
          </w:p>
        </w:tc>
        <w:tc>
          <w:tcPr>
            <w:tcW w:w="1440" w:type="dxa"/>
            <w:tcBorders>
              <w:top w:val="nil"/>
              <w:left w:val="nil"/>
              <w:bottom w:val="single" w:sz="4" w:space="0" w:color="auto"/>
              <w:right w:val="single" w:sz="4" w:space="0" w:color="auto"/>
            </w:tcBorders>
            <w:shd w:val="clear" w:color="auto" w:fill="auto"/>
            <w:noWrap/>
            <w:vAlign w:val="center"/>
            <w:hideMark/>
          </w:tcPr>
          <w:p w14:paraId="1B915B4B" w14:textId="77777777" w:rsidR="00083AF4" w:rsidRPr="00B91358" w:rsidRDefault="00083AF4" w:rsidP="00AB4D08">
            <w:pPr>
              <w:spacing w:after="0" w:line="240" w:lineRule="auto"/>
              <w:contextualSpacing/>
              <w:jc w:val="right"/>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 xml:space="preserve">  117,009,095,551 </w:t>
            </w:r>
          </w:p>
        </w:tc>
        <w:tc>
          <w:tcPr>
            <w:tcW w:w="1200" w:type="dxa"/>
            <w:tcBorders>
              <w:top w:val="nil"/>
              <w:left w:val="nil"/>
              <w:bottom w:val="single" w:sz="4" w:space="0" w:color="auto"/>
              <w:right w:val="single" w:sz="4" w:space="0" w:color="auto"/>
            </w:tcBorders>
            <w:shd w:val="clear" w:color="auto" w:fill="auto"/>
            <w:noWrap/>
            <w:vAlign w:val="center"/>
            <w:hideMark/>
          </w:tcPr>
          <w:p w14:paraId="32681839" w14:textId="77777777" w:rsidR="00083AF4" w:rsidRPr="00B91358" w:rsidRDefault="00083AF4" w:rsidP="00AB4D08">
            <w:pPr>
              <w:spacing w:after="0" w:line="240" w:lineRule="auto"/>
              <w:contextualSpacing/>
              <w:jc w:val="right"/>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12,932,090,043</w:t>
            </w:r>
          </w:p>
        </w:tc>
        <w:tc>
          <w:tcPr>
            <w:tcW w:w="880" w:type="dxa"/>
            <w:tcBorders>
              <w:top w:val="nil"/>
              <w:left w:val="nil"/>
              <w:bottom w:val="single" w:sz="4" w:space="0" w:color="auto"/>
              <w:right w:val="single" w:sz="4" w:space="0" w:color="auto"/>
            </w:tcBorders>
            <w:shd w:val="clear" w:color="auto" w:fill="auto"/>
            <w:noWrap/>
            <w:vAlign w:val="center"/>
            <w:hideMark/>
          </w:tcPr>
          <w:p w14:paraId="5E762396" w14:textId="77777777" w:rsidR="00083AF4" w:rsidRPr="00B91358" w:rsidRDefault="00083AF4" w:rsidP="00AB4D08">
            <w:pPr>
              <w:spacing w:after="0" w:line="240" w:lineRule="auto"/>
              <w:contextualSpacing/>
              <w:jc w:val="right"/>
              <w:rPr>
                <w:rFonts w:ascii="Times New Roman" w:eastAsia="Times New Roman" w:hAnsi="Times New Roman"/>
                <w:b/>
                <w:bCs/>
                <w:color w:val="000000"/>
                <w:sz w:val="16"/>
                <w:szCs w:val="16"/>
              </w:rPr>
            </w:pPr>
            <w:r w:rsidRPr="00B91358">
              <w:rPr>
                <w:rFonts w:ascii="Times New Roman" w:eastAsia="Times New Roman" w:hAnsi="Times New Roman"/>
                <w:b/>
                <w:bCs/>
                <w:color w:val="000000"/>
                <w:sz w:val="16"/>
                <w:szCs w:val="16"/>
              </w:rPr>
              <w:t>11.05%</w:t>
            </w:r>
          </w:p>
        </w:tc>
      </w:tr>
    </w:tbl>
    <w:p w14:paraId="763470A3" w14:textId="77777777" w:rsidR="00083AF4" w:rsidRDefault="00083AF4" w:rsidP="00AB4D08">
      <w:pPr>
        <w:spacing w:after="0" w:line="240" w:lineRule="auto"/>
        <w:contextualSpacing/>
        <w:jc w:val="both"/>
        <w:rPr>
          <w:rFonts w:ascii="Times New Roman" w:hAnsi="Times New Roman"/>
          <w:sz w:val="24"/>
          <w:szCs w:val="24"/>
        </w:rPr>
      </w:pPr>
    </w:p>
    <w:p w14:paraId="19977C73" w14:textId="3B393B3A" w:rsidR="00083AF4" w:rsidRPr="00487588" w:rsidRDefault="00083AF4" w:rsidP="00AB4D08">
      <w:pPr>
        <w:spacing w:line="240" w:lineRule="auto"/>
        <w:ind w:left="567"/>
        <w:contextualSpacing/>
        <w:jc w:val="both"/>
        <w:rPr>
          <w:rFonts w:ascii="Times New Roman" w:eastAsia="Arial" w:hAnsi="Times New Roman"/>
          <w:sz w:val="24"/>
          <w:szCs w:val="24"/>
          <w:highlight w:val="white"/>
        </w:rPr>
      </w:pPr>
      <w:r w:rsidRPr="00487588">
        <w:rPr>
          <w:rFonts w:ascii="Times New Roman" w:eastAsia="Arial" w:hAnsi="Times New Roman"/>
          <w:sz w:val="24"/>
          <w:szCs w:val="24"/>
          <w:highlight w:val="white"/>
        </w:rPr>
        <w:t>Gastos generales es el rubro más representativo dentro de los gastos de administración y operación con una participación del 71%, corresponden principalmente a los gastos por honorarios de contratistas de apoyo a la gestión el cual ascendió a $86.305.074.696 que corresponde al 66.42% de este rubro,  arrendamiento de bienes inmuebles donde opera la entidad, los gastos de aseo, cafetería y vigilancia de los bienes del Instituto y la amortización del gasto por pólizas de seguro de la vigencia principalmente.</w:t>
      </w:r>
    </w:p>
    <w:p w14:paraId="5D7EA9A6" w14:textId="77777777" w:rsidR="00083AF4" w:rsidRPr="00487588" w:rsidRDefault="00083AF4" w:rsidP="00AB4D08">
      <w:pPr>
        <w:spacing w:line="240" w:lineRule="auto"/>
        <w:ind w:left="567"/>
        <w:contextualSpacing/>
        <w:jc w:val="both"/>
        <w:rPr>
          <w:rFonts w:ascii="Times New Roman" w:eastAsia="Arial" w:hAnsi="Times New Roman"/>
          <w:sz w:val="24"/>
          <w:szCs w:val="24"/>
          <w:highlight w:val="white"/>
        </w:rPr>
      </w:pPr>
    </w:p>
    <w:p w14:paraId="5F3F2968" w14:textId="77777777" w:rsidR="00083AF4" w:rsidRPr="00487588" w:rsidRDefault="00083AF4" w:rsidP="00AB4D08">
      <w:pPr>
        <w:spacing w:line="240" w:lineRule="auto"/>
        <w:ind w:left="567"/>
        <w:contextualSpacing/>
        <w:jc w:val="both"/>
        <w:rPr>
          <w:rFonts w:ascii="Times New Roman" w:eastAsia="Arial" w:hAnsi="Times New Roman"/>
          <w:sz w:val="24"/>
          <w:szCs w:val="24"/>
          <w:highlight w:val="white"/>
        </w:rPr>
      </w:pPr>
      <w:r w:rsidRPr="00487588">
        <w:rPr>
          <w:rFonts w:ascii="Times New Roman" w:eastAsia="Arial" w:hAnsi="Times New Roman"/>
          <w:sz w:val="24"/>
          <w:szCs w:val="24"/>
          <w:highlight w:val="white"/>
        </w:rPr>
        <w:t>Sueldos y Salarios constituye las causaciones efectuadas en la vigencia por concepto de sueldos, horas extras, prima técnica, gastos de representación, bonificaciones por servicios y reconocimiento por permanencia de los funcionarios de carrera administrativa de la entidad, los cuales ascendieron a $26.680.163.738 durante el año 2019 con una variación de 4% frente a lo registrado en 2018.</w:t>
      </w:r>
    </w:p>
    <w:p w14:paraId="54D20F08" w14:textId="77777777" w:rsidR="00083AF4" w:rsidRDefault="00083AF4" w:rsidP="00AB4D08">
      <w:pPr>
        <w:spacing w:after="0" w:line="240" w:lineRule="auto"/>
        <w:contextualSpacing/>
        <w:jc w:val="both"/>
        <w:rPr>
          <w:rFonts w:ascii="Times New Roman" w:hAnsi="Times New Roman"/>
          <w:sz w:val="24"/>
          <w:szCs w:val="24"/>
        </w:rPr>
      </w:pPr>
    </w:p>
    <w:p w14:paraId="7186E690" w14:textId="77777777" w:rsidR="00E90A32" w:rsidRDefault="00E90A32" w:rsidP="00AB4D08">
      <w:pPr>
        <w:spacing w:after="0" w:line="240" w:lineRule="auto"/>
        <w:contextualSpacing/>
        <w:jc w:val="both"/>
        <w:rPr>
          <w:rFonts w:ascii="Times New Roman" w:hAnsi="Times New Roman"/>
          <w:sz w:val="24"/>
          <w:szCs w:val="24"/>
        </w:rPr>
      </w:pPr>
    </w:p>
    <w:p w14:paraId="5F48116E" w14:textId="77777777" w:rsidR="00E90A32" w:rsidRDefault="00E90A32" w:rsidP="00AB4D08">
      <w:pPr>
        <w:spacing w:after="0" w:line="240" w:lineRule="auto"/>
        <w:contextualSpacing/>
        <w:jc w:val="both"/>
        <w:rPr>
          <w:rFonts w:ascii="Times New Roman" w:hAnsi="Times New Roman"/>
          <w:sz w:val="24"/>
          <w:szCs w:val="24"/>
        </w:rPr>
      </w:pPr>
    </w:p>
    <w:p w14:paraId="6AD1912F" w14:textId="77777777" w:rsidR="00E90A32" w:rsidRDefault="00E90A32" w:rsidP="00AB4D08">
      <w:pPr>
        <w:spacing w:after="0" w:line="240" w:lineRule="auto"/>
        <w:contextualSpacing/>
        <w:jc w:val="both"/>
        <w:rPr>
          <w:rFonts w:ascii="Times New Roman" w:hAnsi="Times New Roman"/>
          <w:sz w:val="24"/>
          <w:szCs w:val="24"/>
        </w:rPr>
      </w:pPr>
    </w:p>
    <w:p w14:paraId="04BBAB51" w14:textId="77777777" w:rsidR="00E90A32" w:rsidRDefault="00E90A32" w:rsidP="00AB4D08">
      <w:pPr>
        <w:spacing w:after="0" w:line="240" w:lineRule="auto"/>
        <w:contextualSpacing/>
        <w:jc w:val="both"/>
        <w:rPr>
          <w:rFonts w:ascii="Times New Roman" w:hAnsi="Times New Roman"/>
          <w:sz w:val="24"/>
          <w:szCs w:val="24"/>
        </w:rPr>
      </w:pPr>
    </w:p>
    <w:p w14:paraId="2EA803FD" w14:textId="77777777" w:rsidR="00E90A32" w:rsidRDefault="00E90A32" w:rsidP="00AB4D08">
      <w:pPr>
        <w:spacing w:after="0" w:line="240" w:lineRule="auto"/>
        <w:contextualSpacing/>
        <w:jc w:val="both"/>
        <w:rPr>
          <w:rFonts w:ascii="Times New Roman" w:hAnsi="Times New Roman"/>
          <w:sz w:val="24"/>
          <w:szCs w:val="24"/>
        </w:rPr>
      </w:pPr>
    </w:p>
    <w:p w14:paraId="7EADD846" w14:textId="77777777" w:rsidR="00E90A32" w:rsidRPr="0099011D" w:rsidRDefault="00E90A32" w:rsidP="00AB4D08">
      <w:pPr>
        <w:spacing w:after="0" w:line="240" w:lineRule="auto"/>
        <w:contextualSpacing/>
        <w:jc w:val="both"/>
        <w:rPr>
          <w:rFonts w:ascii="Times New Roman" w:hAnsi="Times New Roman"/>
          <w:sz w:val="24"/>
          <w:szCs w:val="24"/>
        </w:rPr>
      </w:pPr>
    </w:p>
    <w:p w14:paraId="7CEBCF22" w14:textId="371B5A45" w:rsidR="00D04DF7" w:rsidRPr="0099011D" w:rsidRDefault="00771DF3" w:rsidP="00AB4D08">
      <w:pPr>
        <w:pStyle w:val="Ttulo2"/>
        <w:numPr>
          <w:ilvl w:val="1"/>
          <w:numId w:val="37"/>
        </w:numPr>
        <w:spacing w:line="240" w:lineRule="auto"/>
        <w:ind w:left="567" w:hanging="567"/>
        <w:contextualSpacing/>
        <w:rPr>
          <w:rFonts w:cs="Times New Roman"/>
          <w:szCs w:val="24"/>
        </w:rPr>
      </w:pPr>
      <w:bookmarkStart w:id="88" w:name="_Toc32317298"/>
      <w:r w:rsidRPr="0099011D">
        <w:rPr>
          <w:rFonts w:cs="Times New Roman"/>
          <w:szCs w:val="24"/>
        </w:rPr>
        <w:lastRenderedPageBreak/>
        <w:t>Deterioro, depreciaciones</w:t>
      </w:r>
      <w:r w:rsidR="00522476" w:rsidRPr="0099011D">
        <w:rPr>
          <w:rFonts w:cs="Times New Roman"/>
          <w:szCs w:val="24"/>
        </w:rPr>
        <w:t>,</w:t>
      </w:r>
      <w:r w:rsidRPr="0099011D">
        <w:rPr>
          <w:rFonts w:cs="Times New Roman"/>
          <w:szCs w:val="24"/>
        </w:rPr>
        <w:t xml:space="preserve"> amortizaciones</w:t>
      </w:r>
      <w:r w:rsidR="00522476" w:rsidRPr="0099011D">
        <w:rPr>
          <w:rFonts w:cs="Times New Roman"/>
          <w:szCs w:val="24"/>
        </w:rPr>
        <w:t xml:space="preserve"> y provisiones</w:t>
      </w:r>
      <w:bookmarkEnd w:id="88"/>
    </w:p>
    <w:p w14:paraId="7D763692" w14:textId="77777777" w:rsidR="00D04DF7" w:rsidRDefault="00D04DF7" w:rsidP="00AB4D08">
      <w:pPr>
        <w:spacing w:after="0" w:line="240" w:lineRule="auto"/>
        <w:ind w:left="720"/>
        <w:contextualSpacing/>
        <w:jc w:val="both"/>
        <w:rPr>
          <w:rFonts w:ascii="Times New Roman" w:hAnsi="Times New Roman"/>
          <w:sz w:val="24"/>
          <w:szCs w:val="24"/>
        </w:rPr>
      </w:pPr>
    </w:p>
    <w:p w14:paraId="10C4325C" w14:textId="77777777" w:rsidR="00083AF4" w:rsidRPr="00083AF4" w:rsidRDefault="00083AF4" w:rsidP="00AB4D08">
      <w:pPr>
        <w:spacing w:line="240" w:lineRule="auto"/>
        <w:ind w:left="567"/>
        <w:contextualSpacing/>
        <w:jc w:val="both"/>
        <w:rPr>
          <w:rFonts w:ascii="Times New Roman" w:eastAsia="Arial" w:hAnsi="Times New Roman"/>
          <w:sz w:val="24"/>
          <w:szCs w:val="24"/>
          <w:highlight w:val="white"/>
        </w:rPr>
      </w:pPr>
      <w:r w:rsidRPr="00083AF4">
        <w:rPr>
          <w:rFonts w:ascii="Times New Roman" w:eastAsia="Arial" w:hAnsi="Times New Roman"/>
          <w:sz w:val="24"/>
          <w:szCs w:val="24"/>
          <w:highlight w:val="white"/>
        </w:rPr>
        <w:t>Las partidas que componen este rubro a 31 de diciembre de 2019 son:</w:t>
      </w:r>
    </w:p>
    <w:p w14:paraId="3FD0416D" w14:textId="77777777" w:rsidR="0099011D" w:rsidRDefault="0099011D" w:rsidP="00AB4D08">
      <w:pPr>
        <w:spacing w:after="0" w:line="240" w:lineRule="auto"/>
        <w:ind w:left="720"/>
        <w:contextualSpacing/>
        <w:jc w:val="both"/>
        <w:rPr>
          <w:rFonts w:ascii="Times New Roman" w:hAnsi="Times New Roman"/>
          <w:sz w:val="24"/>
          <w:szCs w:val="24"/>
        </w:rPr>
      </w:pPr>
    </w:p>
    <w:tbl>
      <w:tblPr>
        <w:tblW w:w="9113" w:type="dxa"/>
        <w:tblInd w:w="-5" w:type="dxa"/>
        <w:tblCellMar>
          <w:left w:w="70" w:type="dxa"/>
          <w:right w:w="70" w:type="dxa"/>
        </w:tblCellMar>
        <w:tblLook w:val="04A0" w:firstRow="1" w:lastRow="0" w:firstColumn="1" w:lastColumn="0" w:noHBand="0" w:noVBand="1"/>
      </w:tblPr>
      <w:tblGrid>
        <w:gridCol w:w="3912"/>
        <w:gridCol w:w="1424"/>
        <w:gridCol w:w="1424"/>
        <w:gridCol w:w="1468"/>
        <w:gridCol w:w="885"/>
      </w:tblGrid>
      <w:tr w:rsidR="00083AF4" w:rsidRPr="00B91358" w14:paraId="5F62724D" w14:textId="77777777" w:rsidTr="00BF044D">
        <w:trPr>
          <w:trHeight w:val="247"/>
        </w:trPr>
        <w:tc>
          <w:tcPr>
            <w:tcW w:w="391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25421B" w14:textId="77777777" w:rsidR="00083AF4" w:rsidRPr="009F1F31" w:rsidRDefault="00083AF4" w:rsidP="00AB4D08">
            <w:pPr>
              <w:spacing w:after="0" w:line="240" w:lineRule="auto"/>
              <w:contextualSpacing/>
              <w:jc w:val="center"/>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DETERIORO, DEPRECIACIONES Y AMORTIZACIONES</w:t>
            </w:r>
          </w:p>
        </w:tc>
        <w:tc>
          <w:tcPr>
            <w:tcW w:w="1424" w:type="dxa"/>
            <w:tcBorders>
              <w:top w:val="single" w:sz="4" w:space="0" w:color="auto"/>
              <w:left w:val="nil"/>
              <w:bottom w:val="single" w:sz="4" w:space="0" w:color="auto"/>
              <w:right w:val="single" w:sz="4" w:space="0" w:color="auto"/>
            </w:tcBorders>
            <w:shd w:val="clear" w:color="000000" w:fill="D9D9D9"/>
            <w:noWrap/>
            <w:vAlign w:val="center"/>
            <w:hideMark/>
          </w:tcPr>
          <w:p w14:paraId="7E65DD65" w14:textId="77777777" w:rsidR="00083AF4" w:rsidRPr="009F1F31" w:rsidRDefault="00083AF4" w:rsidP="00AB4D08">
            <w:pPr>
              <w:spacing w:after="0" w:line="240" w:lineRule="auto"/>
              <w:contextualSpacing/>
              <w:jc w:val="center"/>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2019</w:t>
            </w:r>
          </w:p>
        </w:tc>
        <w:tc>
          <w:tcPr>
            <w:tcW w:w="1424" w:type="dxa"/>
            <w:tcBorders>
              <w:top w:val="single" w:sz="4" w:space="0" w:color="auto"/>
              <w:left w:val="nil"/>
              <w:bottom w:val="single" w:sz="4" w:space="0" w:color="auto"/>
              <w:right w:val="single" w:sz="4" w:space="0" w:color="auto"/>
            </w:tcBorders>
            <w:shd w:val="clear" w:color="000000" w:fill="D9D9D9"/>
            <w:noWrap/>
            <w:vAlign w:val="center"/>
            <w:hideMark/>
          </w:tcPr>
          <w:p w14:paraId="24EB78DC" w14:textId="77777777" w:rsidR="00083AF4" w:rsidRPr="009F1F31" w:rsidRDefault="00083AF4" w:rsidP="00AB4D08">
            <w:pPr>
              <w:spacing w:after="0" w:line="240" w:lineRule="auto"/>
              <w:contextualSpacing/>
              <w:jc w:val="center"/>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2018</w:t>
            </w:r>
          </w:p>
        </w:tc>
        <w:tc>
          <w:tcPr>
            <w:tcW w:w="1468" w:type="dxa"/>
            <w:tcBorders>
              <w:top w:val="single" w:sz="4" w:space="0" w:color="auto"/>
              <w:left w:val="nil"/>
              <w:bottom w:val="single" w:sz="4" w:space="0" w:color="auto"/>
              <w:right w:val="single" w:sz="4" w:space="0" w:color="auto"/>
            </w:tcBorders>
            <w:shd w:val="clear" w:color="000000" w:fill="D9D9D9"/>
            <w:noWrap/>
            <w:vAlign w:val="center"/>
            <w:hideMark/>
          </w:tcPr>
          <w:p w14:paraId="78884B7D" w14:textId="77777777" w:rsidR="00083AF4" w:rsidRPr="009F1F31" w:rsidRDefault="00083AF4" w:rsidP="00AB4D08">
            <w:pPr>
              <w:spacing w:after="0" w:line="240" w:lineRule="auto"/>
              <w:contextualSpacing/>
              <w:jc w:val="center"/>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VARIACION</w:t>
            </w:r>
          </w:p>
        </w:tc>
        <w:tc>
          <w:tcPr>
            <w:tcW w:w="885" w:type="dxa"/>
            <w:tcBorders>
              <w:top w:val="single" w:sz="4" w:space="0" w:color="auto"/>
              <w:left w:val="nil"/>
              <w:bottom w:val="single" w:sz="4" w:space="0" w:color="auto"/>
              <w:right w:val="single" w:sz="4" w:space="0" w:color="auto"/>
            </w:tcBorders>
            <w:shd w:val="clear" w:color="000000" w:fill="D9D9D9"/>
            <w:noWrap/>
            <w:vAlign w:val="center"/>
            <w:hideMark/>
          </w:tcPr>
          <w:p w14:paraId="1FC4E3C3" w14:textId="77777777" w:rsidR="00083AF4" w:rsidRPr="009F1F31" w:rsidRDefault="00083AF4" w:rsidP="00AB4D08">
            <w:pPr>
              <w:spacing w:after="0" w:line="240" w:lineRule="auto"/>
              <w:contextualSpacing/>
              <w:jc w:val="center"/>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 xml:space="preserve">VAR % </w:t>
            </w:r>
          </w:p>
        </w:tc>
      </w:tr>
      <w:tr w:rsidR="00083AF4" w:rsidRPr="00B91358" w14:paraId="3A6BAA33"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5EC7D23B"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DETERIORO DE INVERSIONES</w:t>
            </w:r>
          </w:p>
        </w:tc>
        <w:tc>
          <w:tcPr>
            <w:tcW w:w="1424" w:type="dxa"/>
            <w:tcBorders>
              <w:top w:val="nil"/>
              <w:left w:val="nil"/>
              <w:bottom w:val="single" w:sz="4" w:space="0" w:color="auto"/>
              <w:right w:val="single" w:sz="4" w:space="0" w:color="auto"/>
            </w:tcBorders>
            <w:shd w:val="clear" w:color="auto" w:fill="auto"/>
            <w:noWrap/>
            <w:vAlign w:val="center"/>
            <w:hideMark/>
          </w:tcPr>
          <w:p w14:paraId="32D90E9B"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0</w:t>
            </w:r>
          </w:p>
        </w:tc>
        <w:tc>
          <w:tcPr>
            <w:tcW w:w="1424" w:type="dxa"/>
            <w:tcBorders>
              <w:top w:val="nil"/>
              <w:left w:val="nil"/>
              <w:bottom w:val="single" w:sz="4" w:space="0" w:color="auto"/>
              <w:right w:val="single" w:sz="4" w:space="0" w:color="auto"/>
            </w:tcBorders>
            <w:shd w:val="clear" w:color="auto" w:fill="auto"/>
            <w:noWrap/>
            <w:vAlign w:val="center"/>
            <w:hideMark/>
          </w:tcPr>
          <w:p w14:paraId="4C121CBC"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3,353,315,728</w:t>
            </w:r>
          </w:p>
        </w:tc>
        <w:tc>
          <w:tcPr>
            <w:tcW w:w="1468" w:type="dxa"/>
            <w:tcBorders>
              <w:top w:val="nil"/>
              <w:left w:val="nil"/>
              <w:bottom w:val="single" w:sz="4" w:space="0" w:color="auto"/>
              <w:right w:val="single" w:sz="4" w:space="0" w:color="auto"/>
            </w:tcBorders>
            <w:shd w:val="clear" w:color="auto" w:fill="auto"/>
            <w:noWrap/>
            <w:vAlign w:val="center"/>
            <w:hideMark/>
          </w:tcPr>
          <w:p w14:paraId="6DE53CA0"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-3,353,315,728</w:t>
            </w:r>
          </w:p>
        </w:tc>
        <w:tc>
          <w:tcPr>
            <w:tcW w:w="885" w:type="dxa"/>
            <w:tcBorders>
              <w:top w:val="nil"/>
              <w:left w:val="nil"/>
              <w:bottom w:val="single" w:sz="4" w:space="0" w:color="auto"/>
              <w:right w:val="single" w:sz="4" w:space="0" w:color="auto"/>
            </w:tcBorders>
            <w:shd w:val="clear" w:color="auto" w:fill="auto"/>
            <w:noWrap/>
            <w:vAlign w:val="center"/>
            <w:hideMark/>
          </w:tcPr>
          <w:p w14:paraId="0E53A849"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-100.00%</w:t>
            </w:r>
          </w:p>
        </w:tc>
      </w:tr>
      <w:tr w:rsidR="00083AF4" w:rsidRPr="00B91358" w14:paraId="619F0BFA"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4F6D2A69"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DETERIORO DE CUENTAS POR COBRAR</w:t>
            </w:r>
          </w:p>
        </w:tc>
        <w:tc>
          <w:tcPr>
            <w:tcW w:w="1424" w:type="dxa"/>
            <w:tcBorders>
              <w:top w:val="nil"/>
              <w:left w:val="nil"/>
              <w:bottom w:val="single" w:sz="4" w:space="0" w:color="auto"/>
              <w:right w:val="single" w:sz="4" w:space="0" w:color="auto"/>
            </w:tcBorders>
            <w:shd w:val="clear" w:color="auto" w:fill="auto"/>
            <w:noWrap/>
            <w:vAlign w:val="center"/>
            <w:hideMark/>
          </w:tcPr>
          <w:p w14:paraId="2A00EDB7"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2,726,979,886</w:t>
            </w:r>
          </w:p>
        </w:tc>
        <w:tc>
          <w:tcPr>
            <w:tcW w:w="1424" w:type="dxa"/>
            <w:tcBorders>
              <w:top w:val="nil"/>
              <w:left w:val="nil"/>
              <w:bottom w:val="single" w:sz="4" w:space="0" w:color="auto"/>
              <w:right w:val="single" w:sz="4" w:space="0" w:color="auto"/>
            </w:tcBorders>
            <w:shd w:val="clear" w:color="auto" w:fill="auto"/>
            <w:noWrap/>
            <w:vAlign w:val="center"/>
            <w:hideMark/>
          </w:tcPr>
          <w:p w14:paraId="00AC4AB8"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2,721,941,351</w:t>
            </w:r>
          </w:p>
        </w:tc>
        <w:tc>
          <w:tcPr>
            <w:tcW w:w="1468" w:type="dxa"/>
            <w:tcBorders>
              <w:top w:val="nil"/>
              <w:left w:val="nil"/>
              <w:bottom w:val="single" w:sz="4" w:space="0" w:color="auto"/>
              <w:right w:val="single" w:sz="4" w:space="0" w:color="auto"/>
            </w:tcBorders>
            <w:shd w:val="clear" w:color="auto" w:fill="auto"/>
            <w:noWrap/>
            <w:vAlign w:val="center"/>
            <w:hideMark/>
          </w:tcPr>
          <w:p w14:paraId="6CBB2206"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5,038,536</w:t>
            </w:r>
          </w:p>
        </w:tc>
        <w:tc>
          <w:tcPr>
            <w:tcW w:w="885" w:type="dxa"/>
            <w:tcBorders>
              <w:top w:val="nil"/>
              <w:left w:val="nil"/>
              <w:bottom w:val="single" w:sz="4" w:space="0" w:color="auto"/>
              <w:right w:val="single" w:sz="4" w:space="0" w:color="auto"/>
            </w:tcBorders>
            <w:shd w:val="clear" w:color="auto" w:fill="auto"/>
            <w:noWrap/>
            <w:vAlign w:val="center"/>
            <w:hideMark/>
          </w:tcPr>
          <w:p w14:paraId="62152E53"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0.19%</w:t>
            </w:r>
          </w:p>
        </w:tc>
      </w:tr>
      <w:tr w:rsidR="00083AF4" w:rsidRPr="00B91358" w14:paraId="384960A3"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2D9B7041"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DETERIORO DE INVENTARIOS</w:t>
            </w:r>
          </w:p>
        </w:tc>
        <w:tc>
          <w:tcPr>
            <w:tcW w:w="1424" w:type="dxa"/>
            <w:tcBorders>
              <w:top w:val="nil"/>
              <w:left w:val="nil"/>
              <w:bottom w:val="single" w:sz="4" w:space="0" w:color="auto"/>
              <w:right w:val="single" w:sz="4" w:space="0" w:color="auto"/>
            </w:tcBorders>
            <w:shd w:val="clear" w:color="auto" w:fill="auto"/>
            <w:noWrap/>
            <w:vAlign w:val="center"/>
            <w:hideMark/>
          </w:tcPr>
          <w:p w14:paraId="3F2E3FCF"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163,720,129</w:t>
            </w:r>
          </w:p>
        </w:tc>
        <w:tc>
          <w:tcPr>
            <w:tcW w:w="1424" w:type="dxa"/>
            <w:tcBorders>
              <w:top w:val="nil"/>
              <w:left w:val="nil"/>
              <w:bottom w:val="single" w:sz="4" w:space="0" w:color="auto"/>
              <w:right w:val="single" w:sz="4" w:space="0" w:color="auto"/>
            </w:tcBorders>
            <w:shd w:val="clear" w:color="auto" w:fill="auto"/>
            <w:noWrap/>
            <w:vAlign w:val="center"/>
            <w:hideMark/>
          </w:tcPr>
          <w:p w14:paraId="6C52CC00"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88,776,300</w:t>
            </w:r>
          </w:p>
        </w:tc>
        <w:tc>
          <w:tcPr>
            <w:tcW w:w="1468" w:type="dxa"/>
            <w:tcBorders>
              <w:top w:val="nil"/>
              <w:left w:val="nil"/>
              <w:bottom w:val="single" w:sz="4" w:space="0" w:color="auto"/>
              <w:right w:val="single" w:sz="4" w:space="0" w:color="auto"/>
            </w:tcBorders>
            <w:shd w:val="clear" w:color="auto" w:fill="auto"/>
            <w:noWrap/>
            <w:vAlign w:val="center"/>
            <w:hideMark/>
          </w:tcPr>
          <w:p w14:paraId="3F691A1B"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74,943,829</w:t>
            </w:r>
          </w:p>
        </w:tc>
        <w:tc>
          <w:tcPr>
            <w:tcW w:w="885" w:type="dxa"/>
            <w:tcBorders>
              <w:top w:val="nil"/>
              <w:left w:val="nil"/>
              <w:bottom w:val="single" w:sz="4" w:space="0" w:color="auto"/>
              <w:right w:val="single" w:sz="4" w:space="0" w:color="auto"/>
            </w:tcBorders>
            <w:shd w:val="clear" w:color="auto" w:fill="auto"/>
            <w:noWrap/>
            <w:vAlign w:val="center"/>
            <w:hideMark/>
          </w:tcPr>
          <w:p w14:paraId="3E1B4C42"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84.42%</w:t>
            </w:r>
          </w:p>
        </w:tc>
      </w:tr>
      <w:tr w:rsidR="00083AF4" w:rsidRPr="00B91358" w14:paraId="2832559B"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720D0CD4"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DETERIORO DE PROPIEDADES, PLANTA Y EQUIPO</w:t>
            </w:r>
          </w:p>
        </w:tc>
        <w:tc>
          <w:tcPr>
            <w:tcW w:w="1424" w:type="dxa"/>
            <w:tcBorders>
              <w:top w:val="nil"/>
              <w:left w:val="nil"/>
              <w:bottom w:val="single" w:sz="4" w:space="0" w:color="auto"/>
              <w:right w:val="single" w:sz="4" w:space="0" w:color="auto"/>
            </w:tcBorders>
            <w:shd w:val="clear" w:color="auto" w:fill="auto"/>
            <w:noWrap/>
            <w:vAlign w:val="center"/>
            <w:hideMark/>
          </w:tcPr>
          <w:p w14:paraId="79B20305"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1,616,687,348</w:t>
            </w:r>
          </w:p>
        </w:tc>
        <w:tc>
          <w:tcPr>
            <w:tcW w:w="1424" w:type="dxa"/>
            <w:tcBorders>
              <w:top w:val="nil"/>
              <w:left w:val="nil"/>
              <w:bottom w:val="single" w:sz="4" w:space="0" w:color="auto"/>
              <w:right w:val="single" w:sz="4" w:space="0" w:color="auto"/>
            </w:tcBorders>
            <w:shd w:val="clear" w:color="auto" w:fill="auto"/>
            <w:noWrap/>
            <w:vAlign w:val="center"/>
            <w:hideMark/>
          </w:tcPr>
          <w:p w14:paraId="3D2AC722"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125,006,990</w:t>
            </w:r>
          </w:p>
        </w:tc>
        <w:tc>
          <w:tcPr>
            <w:tcW w:w="1468" w:type="dxa"/>
            <w:tcBorders>
              <w:top w:val="nil"/>
              <w:left w:val="nil"/>
              <w:bottom w:val="single" w:sz="4" w:space="0" w:color="auto"/>
              <w:right w:val="single" w:sz="4" w:space="0" w:color="auto"/>
            </w:tcBorders>
            <w:shd w:val="clear" w:color="auto" w:fill="auto"/>
            <w:noWrap/>
            <w:vAlign w:val="center"/>
            <w:hideMark/>
          </w:tcPr>
          <w:p w14:paraId="2D2647FB"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1,491,680,358</w:t>
            </w:r>
          </w:p>
        </w:tc>
        <w:tc>
          <w:tcPr>
            <w:tcW w:w="885" w:type="dxa"/>
            <w:tcBorders>
              <w:top w:val="nil"/>
              <w:left w:val="nil"/>
              <w:bottom w:val="single" w:sz="4" w:space="0" w:color="auto"/>
              <w:right w:val="single" w:sz="4" w:space="0" w:color="auto"/>
            </w:tcBorders>
            <w:shd w:val="clear" w:color="auto" w:fill="auto"/>
            <w:noWrap/>
            <w:vAlign w:val="center"/>
            <w:hideMark/>
          </w:tcPr>
          <w:p w14:paraId="30A43FDA"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1193.28%</w:t>
            </w:r>
          </w:p>
        </w:tc>
      </w:tr>
      <w:tr w:rsidR="00083AF4" w:rsidRPr="00B91358" w14:paraId="5C8FBA5F"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2E0AD2C2"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DETERIORO DE ACTIVOS INTANGIBLES</w:t>
            </w:r>
          </w:p>
        </w:tc>
        <w:tc>
          <w:tcPr>
            <w:tcW w:w="1424" w:type="dxa"/>
            <w:tcBorders>
              <w:top w:val="nil"/>
              <w:left w:val="nil"/>
              <w:bottom w:val="single" w:sz="4" w:space="0" w:color="auto"/>
              <w:right w:val="single" w:sz="4" w:space="0" w:color="auto"/>
            </w:tcBorders>
            <w:shd w:val="clear" w:color="auto" w:fill="auto"/>
            <w:noWrap/>
            <w:vAlign w:val="center"/>
            <w:hideMark/>
          </w:tcPr>
          <w:p w14:paraId="70441FD6"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0</w:t>
            </w:r>
          </w:p>
        </w:tc>
        <w:tc>
          <w:tcPr>
            <w:tcW w:w="1424" w:type="dxa"/>
            <w:tcBorders>
              <w:top w:val="nil"/>
              <w:left w:val="nil"/>
              <w:bottom w:val="single" w:sz="4" w:space="0" w:color="auto"/>
              <w:right w:val="single" w:sz="4" w:space="0" w:color="auto"/>
            </w:tcBorders>
            <w:shd w:val="clear" w:color="auto" w:fill="auto"/>
            <w:noWrap/>
            <w:vAlign w:val="center"/>
            <w:hideMark/>
          </w:tcPr>
          <w:p w14:paraId="008639E6"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79,147,091</w:t>
            </w:r>
          </w:p>
        </w:tc>
        <w:tc>
          <w:tcPr>
            <w:tcW w:w="1468" w:type="dxa"/>
            <w:tcBorders>
              <w:top w:val="nil"/>
              <w:left w:val="nil"/>
              <w:bottom w:val="single" w:sz="4" w:space="0" w:color="auto"/>
              <w:right w:val="single" w:sz="4" w:space="0" w:color="auto"/>
            </w:tcBorders>
            <w:shd w:val="clear" w:color="auto" w:fill="auto"/>
            <w:noWrap/>
            <w:vAlign w:val="center"/>
            <w:hideMark/>
          </w:tcPr>
          <w:p w14:paraId="3867E86C"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-79,147,091</w:t>
            </w:r>
          </w:p>
        </w:tc>
        <w:tc>
          <w:tcPr>
            <w:tcW w:w="885" w:type="dxa"/>
            <w:tcBorders>
              <w:top w:val="nil"/>
              <w:left w:val="nil"/>
              <w:bottom w:val="single" w:sz="4" w:space="0" w:color="auto"/>
              <w:right w:val="single" w:sz="4" w:space="0" w:color="auto"/>
            </w:tcBorders>
            <w:shd w:val="clear" w:color="auto" w:fill="auto"/>
            <w:noWrap/>
            <w:vAlign w:val="center"/>
            <w:hideMark/>
          </w:tcPr>
          <w:p w14:paraId="054C5619"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-100.00%</w:t>
            </w:r>
          </w:p>
        </w:tc>
      </w:tr>
      <w:tr w:rsidR="00083AF4" w:rsidRPr="00B91358" w14:paraId="1F38CA72"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10EDBEAF"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DEPRECIACIÓN DE PROPIEDADES, PLANTA Y EQUIPO</w:t>
            </w:r>
          </w:p>
        </w:tc>
        <w:tc>
          <w:tcPr>
            <w:tcW w:w="1424" w:type="dxa"/>
            <w:tcBorders>
              <w:top w:val="nil"/>
              <w:left w:val="nil"/>
              <w:bottom w:val="single" w:sz="4" w:space="0" w:color="auto"/>
              <w:right w:val="single" w:sz="4" w:space="0" w:color="auto"/>
            </w:tcBorders>
            <w:shd w:val="clear" w:color="auto" w:fill="auto"/>
            <w:noWrap/>
            <w:vAlign w:val="center"/>
            <w:hideMark/>
          </w:tcPr>
          <w:p w14:paraId="0BB8EFD5"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3,115,431,741</w:t>
            </w:r>
          </w:p>
        </w:tc>
        <w:tc>
          <w:tcPr>
            <w:tcW w:w="1424" w:type="dxa"/>
            <w:tcBorders>
              <w:top w:val="nil"/>
              <w:left w:val="nil"/>
              <w:bottom w:val="single" w:sz="4" w:space="0" w:color="auto"/>
              <w:right w:val="single" w:sz="4" w:space="0" w:color="auto"/>
            </w:tcBorders>
            <w:shd w:val="clear" w:color="auto" w:fill="auto"/>
            <w:noWrap/>
            <w:vAlign w:val="center"/>
            <w:hideMark/>
          </w:tcPr>
          <w:p w14:paraId="50D570F4"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2,538,677,677</w:t>
            </w:r>
          </w:p>
        </w:tc>
        <w:tc>
          <w:tcPr>
            <w:tcW w:w="1468" w:type="dxa"/>
            <w:tcBorders>
              <w:top w:val="nil"/>
              <w:left w:val="nil"/>
              <w:bottom w:val="single" w:sz="4" w:space="0" w:color="auto"/>
              <w:right w:val="single" w:sz="4" w:space="0" w:color="auto"/>
            </w:tcBorders>
            <w:shd w:val="clear" w:color="auto" w:fill="auto"/>
            <w:noWrap/>
            <w:vAlign w:val="center"/>
            <w:hideMark/>
          </w:tcPr>
          <w:p w14:paraId="275B31C9"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576,754,064</w:t>
            </w:r>
          </w:p>
        </w:tc>
        <w:tc>
          <w:tcPr>
            <w:tcW w:w="885" w:type="dxa"/>
            <w:tcBorders>
              <w:top w:val="nil"/>
              <w:left w:val="nil"/>
              <w:bottom w:val="single" w:sz="4" w:space="0" w:color="auto"/>
              <w:right w:val="single" w:sz="4" w:space="0" w:color="auto"/>
            </w:tcBorders>
            <w:shd w:val="clear" w:color="auto" w:fill="auto"/>
            <w:noWrap/>
            <w:vAlign w:val="center"/>
            <w:hideMark/>
          </w:tcPr>
          <w:p w14:paraId="7091AA22"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22.72%</w:t>
            </w:r>
          </w:p>
        </w:tc>
      </w:tr>
      <w:tr w:rsidR="00083AF4" w:rsidRPr="00B91358" w14:paraId="3F4C5EE8"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60BB4710"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DEPRECIACIÓN DE BIENES DE USO PÚBLICO</w:t>
            </w:r>
          </w:p>
        </w:tc>
        <w:tc>
          <w:tcPr>
            <w:tcW w:w="1424" w:type="dxa"/>
            <w:tcBorders>
              <w:top w:val="nil"/>
              <w:left w:val="nil"/>
              <w:bottom w:val="single" w:sz="4" w:space="0" w:color="auto"/>
              <w:right w:val="single" w:sz="4" w:space="0" w:color="auto"/>
            </w:tcBorders>
            <w:shd w:val="clear" w:color="auto" w:fill="auto"/>
            <w:noWrap/>
            <w:vAlign w:val="center"/>
            <w:hideMark/>
          </w:tcPr>
          <w:p w14:paraId="0BA20DE1"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151,678,635,400</w:t>
            </w:r>
          </w:p>
        </w:tc>
        <w:tc>
          <w:tcPr>
            <w:tcW w:w="1424" w:type="dxa"/>
            <w:tcBorders>
              <w:top w:val="nil"/>
              <w:left w:val="nil"/>
              <w:bottom w:val="single" w:sz="4" w:space="0" w:color="auto"/>
              <w:right w:val="single" w:sz="4" w:space="0" w:color="auto"/>
            </w:tcBorders>
            <w:shd w:val="clear" w:color="auto" w:fill="auto"/>
            <w:noWrap/>
            <w:vAlign w:val="center"/>
            <w:hideMark/>
          </w:tcPr>
          <w:p w14:paraId="62FB14C7"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575,043,836,232</w:t>
            </w:r>
          </w:p>
        </w:tc>
        <w:tc>
          <w:tcPr>
            <w:tcW w:w="1468" w:type="dxa"/>
            <w:tcBorders>
              <w:top w:val="nil"/>
              <w:left w:val="nil"/>
              <w:bottom w:val="single" w:sz="4" w:space="0" w:color="auto"/>
              <w:right w:val="single" w:sz="4" w:space="0" w:color="auto"/>
            </w:tcBorders>
            <w:shd w:val="clear" w:color="auto" w:fill="auto"/>
            <w:noWrap/>
            <w:vAlign w:val="center"/>
            <w:hideMark/>
          </w:tcPr>
          <w:p w14:paraId="5558FE4B"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-423,365,200,832</w:t>
            </w:r>
          </w:p>
        </w:tc>
        <w:tc>
          <w:tcPr>
            <w:tcW w:w="885" w:type="dxa"/>
            <w:tcBorders>
              <w:top w:val="nil"/>
              <w:left w:val="nil"/>
              <w:bottom w:val="single" w:sz="4" w:space="0" w:color="auto"/>
              <w:right w:val="single" w:sz="4" w:space="0" w:color="auto"/>
            </w:tcBorders>
            <w:shd w:val="clear" w:color="auto" w:fill="auto"/>
            <w:noWrap/>
            <w:vAlign w:val="center"/>
            <w:hideMark/>
          </w:tcPr>
          <w:p w14:paraId="52206194"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-73.62%</w:t>
            </w:r>
          </w:p>
        </w:tc>
      </w:tr>
      <w:tr w:rsidR="00083AF4" w:rsidRPr="00B91358" w14:paraId="3C03E16A"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6FE1B296"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AMORTIZACIÓN DE ACTIVOS INTANGIBLES</w:t>
            </w:r>
          </w:p>
        </w:tc>
        <w:tc>
          <w:tcPr>
            <w:tcW w:w="1424" w:type="dxa"/>
            <w:tcBorders>
              <w:top w:val="nil"/>
              <w:left w:val="nil"/>
              <w:bottom w:val="single" w:sz="4" w:space="0" w:color="auto"/>
              <w:right w:val="single" w:sz="4" w:space="0" w:color="auto"/>
            </w:tcBorders>
            <w:shd w:val="clear" w:color="auto" w:fill="auto"/>
            <w:noWrap/>
            <w:vAlign w:val="center"/>
            <w:hideMark/>
          </w:tcPr>
          <w:p w14:paraId="408D0932"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366,611,850</w:t>
            </w:r>
          </w:p>
        </w:tc>
        <w:tc>
          <w:tcPr>
            <w:tcW w:w="1424" w:type="dxa"/>
            <w:tcBorders>
              <w:top w:val="nil"/>
              <w:left w:val="nil"/>
              <w:bottom w:val="single" w:sz="4" w:space="0" w:color="auto"/>
              <w:right w:val="single" w:sz="4" w:space="0" w:color="auto"/>
            </w:tcBorders>
            <w:shd w:val="clear" w:color="auto" w:fill="auto"/>
            <w:noWrap/>
            <w:vAlign w:val="center"/>
            <w:hideMark/>
          </w:tcPr>
          <w:p w14:paraId="7DA6A1CC"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242,336,808</w:t>
            </w:r>
          </w:p>
        </w:tc>
        <w:tc>
          <w:tcPr>
            <w:tcW w:w="1468" w:type="dxa"/>
            <w:tcBorders>
              <w:top w:val="nil"/>
              <w:left w:val="nil"/>
              <w:bottom w:val="single" w:sz="4" w:space="0" w:color="auto"/>
              <w:right w:val="single" w:sz="4" w:space="0" w:color="auto"/>
            </w:tcBorders>
            <w:shd w:val="clear" w:color="auto" w:fill="auto"/>
            <w:noWrap/>
            <w:vAlign w:val="center"/>
            <w:hideMark/>
          </w:tcPr>
          <w:p w14:paraId="7C99F8C1"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124,275,042</w:t>
            </w:r>
          </w:p>
        </w:tc>
        <w:tc>
          <w:tcPr>
            <w:tcW w:w="885" w:type="dxa"/>
            <w:tcBorders>
              <w:top w:val="nil"/>
              <w:left w:val="nil"/>
              <w:bottom w:val="single" w:sz="4" w:space="0" w:color="auto"/>
              <w:right w:val="single" w:sz="4" w:space="0" w:color="auto"/>
            </w:tcBorders>
            <w:shd w:val="clear" w:color="auto" w:fill="auto"/>
            <w:noWrap/>
            <w:vAlign w:val="center"/>
            <w:hideMark/>
          </w:tcPr>
          <w:p w14:paraId="39E908D0"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51.28%</w:t>
            </w:r>
          </w:p>
        </w:tc>
      </w:tr>
      <w:tr w:rsidR="00083AF4" w:rsidRPr="00B91358" w14:paraId="39F01ECB"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7BEB6EC7" w14:textId="77777777" w:rsidR="00083AF4" w:rsidRPr="009F1F31" w:rsidRDefault="00083AF4" w:rsidP="00AB4D08">
            <w:pPr>
              <w:spacing w:after="0" w:line="240" w:lineRule="auto"/>
              <w:contextualSpacing/>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PROVISIÓN LITIGIOS Y DEMANDAS</w:t>
            </w:r>
          </w:p>
        </w:tc>
        <w:tc>
          <w:tcPr>
            <w:tcW w:w="1424" w:type="dxa"/>
            <w:tcBorders>
              <w:top w:val="nil"/>
              <w:left w:val="nil"/>
              <w:bottom w:val="single" w:sz="4" w:space="0" w:color="auto"/>
              <w:right w:val="single" w:sz="4" w:space="0" w:color="auto"/>
            </w:tcBorders>
            <w:shd w:val="clear" w:color="auto" w:fill="auto"/>
            <w:noWrap/>
            <w:vAlign w:val="center"/>
            <w:hideMark/>
          </w:tcPr>
          <w:p w14:paraId="1205CF3E"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16,161,983,436</w:t>
            </w:r>
          </w:p>
        </w:tc>
        <w:tc>
          <w:tcPr>
            <w:tcW w:w="1424" w:type="dxa"/>
            <w:tcBorders>
              <w:top w:val="nil"/>
              <w:left w:val="nil"/>
              <w:bottom w:val="single" w:sz="4" w:space="0" w:color="auto"/>
              <w:right w:val="single" w:sz="4" w:space="0" w:color="auto"/>
            </w:tcBorders>
            <w:shd w:val="clear" w:color="auto" w:fill="auto"/>
            <w:noWrap/>
            <w:vAlign w:val="center"/>
            <w:hideMark/>
          </w:tcPr>
          <w:p w14:paraId="03EC3640"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12,986,016,793</w:t>
            </w:r>
          </w:p>
        </w:tc>
        <w:tc>
          <w:tcPr>
            <w:tcW w:w="1468" w:type="dxa"/>
            <w:tcBorders>
              <w:top w:val="nil"/>
              <w:left w:val="nil"/>
              <w:bottom w:val="single" w:sz="4" w:space="0" w:color="auto"/>
              <w:right w:val="single" w:sz="4" w:space="0" w:color="auto"/>
            </w:tcBorders>
            <w:shd w:val="clear" w:color="auto" w:fill="auto"/>
            <w:noWrap/>
            <w:vAlign w:val="center"/>
            <w:hideMark/>
          </w:tcPr>
          <w:p w14:paraId="17E9D59F"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3,175,966,643</w:t>
            </w:r>
          </w:p>
        </w:tc>
        <w:tc>
          <w:tcPr>
            <w:tcW w:w="885" w:type="dxa"/>
            <w:tcBorders>
              <w:top w:val="nil"/>
              <w:left w:val="nil"/>
              <w:bottom w:val="single" w:sz="4" w:space="0" w:color="auto"/>
              <w:right w:val="single" w:sz="4" w:space="0" w:color="auto"/>
            </w:tcBorders>
            <w:shd w:val="clear" w:color="auto" w:fill="auto"/>
            <w:noWrap/>
            <w:vAlign w:val="center"/>
            <w:hideMark/>
          </w:tcPr>
          <w:p w14:paraId="00B4FA39" w14:textId="77777777" w:rsidR="00083AF4" w:rsidRPr="009F1F31" w:rsidRDefault="00083AF4" w:rsidP="00AB4D08">
            <w:pPr>
              <w:spacing w:after="0" w:line="240" w:lineRule="auto"/>
              <w:contextualSpacing/>
              <w:jc w:val="right"/>
              <w:rPr>
                <w:rFonts w:ascii="Times New Roman" w:eastAsia="Times New Roman" w:hAnsi="Times New Roman"/>
                <w:color w:val="000000"/>
                <w:sz w:val="16"/>
                <w:szCs w:val="16"/>
              </w:rPr>
            </w:pPr>
            <w:r w:rsidRPr="009F1F31">
              <w:rPr>
                <w:rFonts w:ascii="Times New Roman" w:eastAsia="Times New Roman" w:hAnsi="Times New Roman"/>
                <w:color w:val="000000"/>
                <w:sz w:val="16"/>
                <w:szCs w:val="16"/>
              </w:rPr>
              <w:t>24.46%</w:t>
            </w:r>
          </w:p>
        </w:tc>
      </w:tr>
      <w:tr w:rsidR="00083AF4" w:rsidRPr="00B91358" w14:paraId="74C4E28F" w14:textId="77777777" w:rsidTr="00BF044D">
        <w:trPr>
          <w:trHeight w:val="247"/>
        </w:trPr>
        <w:tc>
          <w:tcPr>
            <w:tcW w:w="3912" w:type="dxa"/>
            <w:tcBorders>
              <w:top w:val="nil"/>
              <w:left w:val="single" w:sz="4" w:space="0" w:color="auto"/>
              <w:bottom w:val="single" w:sz="4" w:space="0" w:color="auto"/>
              <w:right w:val="single" w:sz="4" w:space="0" w:color="auto"/>
            </w:tcBorders>
            <w:shd w:val="clear" w:color="auto" w:fill="auto"/>
            <w:noWrap/>
            <w:vAlign w:val="center"/>
            <w:hideMark/>
          </w:tcPr>
          <w:p w14:paraId="4BDA3387" w14:textId="77777777" w:rsidR="00083AF4" w:rsidRPr="009F1F31" w:rsidRDefault="00083AF4" w:rsidP="00AB4D08">
            <w:pPr>
              <w:spacing w:after="0" w:line="240" w:lineRule="auto"/>
              <w:contextualSpacing/>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TOTAL</w:t>
            </w:r>
          </w:p>
        </w:tc>
        <w:tc>
          <w:tcPr>
            <w:tcW w:w="1424" w:type="dxa"/>
            <w:tcBorders>
              <w:top w:val="nil"/>
              <w:left w:val="nil"/>
              <w:bottom w:val="single" w:sz="4" w:space="0" w:color="auto"/>
              <w:right w:val="single" w:sz="4" w:space="0" w:color="auto"/>
            </w:tcBorders>
            <w:shd w:val="clear" w:color="auto" w:fill="auto"/>
            <w:noWrap/>
            <w:vAlign w:val="center"/>
            <w:hideMark/>
          </w:tcPr>
          <w:p w14:paraId="0CF7A8EC" w14:textId="77777777" w:rsidR="00083AF4" w:rsidRPr="009F1F31" w:rsidRDefault="00083AF4" w:rsidP="00AB4D08">
            <w:pPr>
              <w:spacing w:after="0" w:line="240" w:lineRule="auto"/>
              <w:contextualSpacing/>
              <w:jc w:val="right"/>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175,830,049,790</w:t>
            </w:r>
          </w:p>
        </w:tc>
        <w:tc>
          <w:tcPr>
            <w:tcW w:w="1424" w:type="dxa"/>
            <w:tcBorders>
              <w:top w:val="nil"/>
              <w:left w:val="nil"/>
              <w:bottom w:val="single" w:sz="4" w:space="0" w:color="auto"/>
              <w:right w:val="single" w:sz="4" w:space="0" w:color="auto"/>
            </w:tcBorders>
            <w:shd w:val="clear" w:color="auto" w:fill="auto"/>
            <w:noWrap/>
            <w:vAlign w:val="center"/>
            <w:hideMark/>
          </w:tcPr>
          <w:p w14:paraId="14182846" w14:textId="77777777" w:rsidR="00083AF4" w:rsidRPr="009F1F31" w:rsidRDefault="00083AF4" w:rsidP="00AB4D08">
            <w:pPr>
              <w:spacing w:after="0" w:line="240" w:lineRule="auto"/>
              <w:contextualSpacing/>
              <w:jc w:val="right"/>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597,179,054,970</w:t>
            </w:r>
          </w:p>
        </w:tc>
        <w:tc>
          <w:tcPr>
            <w:tcW w:w="1468" w:type="dxa"/>
            <w:tcBorders>
              <w:top w:val="nil"/>
              <w:left w:val="nil"/>
              <w:bottom w:val="single" w:sz="4" w:space="0" w:color="auto"/>
              <w:right w:val="single" w:sz="4" w:space="0" w:color="auto"/>
            </w:tcBorders>
            <w:shd w:val="clear" w:color="auto" w:fill="auto"/>
            <w:noWrap/>
            <w:vAlign w:val="center"/>
            <w:hideMark/>
          </w:tcPr>
          <w:p w14:paraId="7DCDC44B" w14:textId="77777777" w:rsidR="00083AF4" w:rsidRPr="009F1F31" w:rsidRDefault="00083AF4" w:rsidP="00AB4D08">
            <w:pPr>
              <w:spacing w:after="0" w:line="240" w:lineRule="auto"/>
              <w:contextualSpacing/>
              <w:jc w:val="right"/>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-421,349,005,179</w:t>
            </w:r>
          </w:p>
        </w:tc>
        <w:tc>
          <w:tcPr>
            <w:tcW w:w="885" w:type="dxa"/>
            <w:tcBorders>
              <w:top w:val="nil"/>
              <w:left w:val="nil"/>
              <w:bottom w:val="single" w:sz="4" w:space="0" w:color="auto"/>
              <w:right w:val="single" w:sz="4" w:space="0" w:color="auto"/>
            </w:tcBorders>
            <w:shd w:val="clear" w:color="auto" w:fill="auto"/>
            <w:noWrap/>
            <w:vAlign w:val="center"/>
            <w:hideMark/>
          </w:tcPr>
          <w:p w14:paraId="59F05A4B" w14:textId="77777777" w:rsidR="00083AF4" w:rsidRPr="009F1F31" w:rsidRDefault="00083AF4" w:rsidP="00AB4D08">
            <w:pPr>
              <w:spacing w:after="0" w:line="240" w:lineRule="auto"/>
              <w:contextualSpacing/>
              <w:jc w:val="right"/>
              <w:rPr>
                <w:rFonts w:ascii="Times New Roman" w:eastAsia="Times New Roman" w:hAnsi="Times New Roman"/>
                <w:b/>
                <w:bCs/>
                <w:color w:val="000000"/>
                <w:sz w:val="16"/>
                <w:szCs w:val="16"/>
              </w:rPr>
            </w:pPr>
            <w:r w:rsidRPr="009F1F31">
              <w:rPr>
                <w:rFonts w:ascii="Times New Roman" w:eastAsia="Times New Roman" w:hAnsi="Times New Roman"/>
                <w:b/>
                <w:bCs/>
                <w:color w:val="000000"/>
                <w:sz w:val="16"/>
                <w:szCs w:val="16"/>
              </w:rPr>
              <w:t>-70.56%</w:t>
            </w:r>
          </w:p>
        </w:tc>
      </w:tr>
    </w:tbl>
    <w:p w14:paraId="3A13D6D3" w14:textId="77777777" w:rsidR="00083AF4" w:rsidRPr="00205CCD" w:rsidRDefault="00083AF4" w:rsidP="00AB4D08">
      <w:pPr>
        <w:spacing w:after="0" w:line="240" w:lineRule="auto"/>
        <w:ind w:left="720"/>
        <w:contextualSpacing/>
        <w:jc w:val="both"/>
        <w:rPr>
          <w:rFonts w:ascii="Times New Roman" w:hAnsi="Times New Roman"/>
          <w:sz w:val="24"/>
          <w:szCs w:val="24"/>
        </w:rPr>
      </w:pPr>
    </w:p>
    <w:p w14:paraId="28889346" w14:textId="1C4E7A6F" w:rsidR="00A05F4F" w:rsidRPr="00205CCD" w:rsidRDefault="00A05F4F" w:rsidP="00AB4D08">
      <w:pPr>
        <w:spacing w:line="240" w:lineRule="auto"/>
        <w:ind w:left="567"/>
        <w:contextualSpacing/>
        <w:jc w:val="both"/>
        <w:rPr>
          <w:rFonts w:ascii="Times New Roman" w:eastAsia="Arial" w:hAnsi="Times New Roman"/>
          <w:sz w:val="24"/>
          <w:szCs w:val="24"/>
        </w:rPr>
      </w:pPr>
      <w:r w:rsidRPr="00205CCD">
        <w:rPr>
          <w:rFonts w:ascii="Times New Roman" w:eastAsia="Arial" w:hAnsi="Times New Roman"/>
          <w:sz w:val="24"/>
          <w:szCs w:val="24"/>
        </w:rPr>
        <w:t>Depreciación bienes de uso publico</w:t>
      </w:r>
    </w:p>
    <w:p w14:paraId="1A86B37B" w14:textId="77777777" w:rsidR="00A05F4F" w:rsidRPr="00205CCD" w:rsidRDefault="00A05F4F" w:rsidP="00AB4D08">
      <w:pPr>
        <w:spacing w:line="240" w:lineRule="auto"/>
        <w:ind w:left="567"/>
        <w:contextualSpacing/>
        <w:jc w:val="both"/>
        <w:rPr>
          <w:rFonts w:ascii="Times New Roman" w:eastAsia="Arial" w:hAnsi="Times New Roman"/>
          <w:sz w:val="24"/>
          <w:szCs w:val="24"/>
        </w:rPr>
      </w:pPr>
    </w:p>
    <w:p w14:paraId="0CF969AA" w14:textId="0FE67CB6" w:rsidR="00A05F4F" w:rsidRPr="00205CCD" w:rsidRDefault="00A05F4F" w:rsidP="00AB4D08">
      <w:pPr>
        <w:spacing w:line="240" w:lineRule="auto"/>
        <w:ind w:left="567"/>
        <w:contextualSpacing/>
        <w:jc w:val="both"/>
        <w:rPr>
          <w:rFonts w:ascii="Times New Roman" w:eastAsia="Arial" w:hAnsi="Times New Roman"/>
          <w:sz w:val="24"/>
          <w:szCs w:val="24"/>
        </w:rPr>
      </w:pPr>
      <w:r w:rsidRPr="00205CCD">
        <w:rPr>
          <w:rFonts w:ascii="Times New Roman" w:eastAsia="Arial" w:hAnsi="Times New Roman"/>
          <w:sz w:val="24"/>
          <w:szCs w:val="24"/>
        </w:rPr>
        <w:t xml:space="preserve">La depreciación de bienes de uso público presenta una disminución durante la vigencia 2019, por valor de $423.365.200.832, principalmente por actualizaciones en la vida útil asignada a cada </w:t>
      </w:r>
      <w:r w:rsidR="00205CCD">
        <w:rPr>
          <w:rFonts w:ascii="Times New Roman" w:eastAsia="Arial" w:hAnsi="Times New Roman"/>
          <w:sz w:val="24"/>
          <w:szCs w:val="24"/>
        </w:rPr>
        <w:t>clasificación de bien de uso público</w:t>
      </w:r>
      <w:r w:rsidRPr="00205CCD">
        <w:rPr>
          <w:rFonts w:ascii="Times New Roman" w:eastAsia="Arial" w:hAnsi="Times New Roman"/>
          <w:sz w:val="24"/>
          <w:szCs w:val="24"/>
        </w:rPr>
        <w:t>.</w:t>
      </w:r>
    </w:p>
    <w:p w14:paraId="4B652031" w14:textId="77777777" w:rsidR="00A05F4F" w:rsidRPr="00205CCD" w:rsidRDefault="00A05F4F" w:rsidP="00AB4D08">
      <w:pPr>
        <w:spacing w:line="240" w:lineRule="auto"/>
        <w:ind w:left="567"/>
        <w:contextualSpacing/>
        <w:jc w:val="both"/>
        <w:rPr>
          <w:rFonts w:ascii="Times New Roman" w:eastAsia="Arial" w:hAnsi="Times New Roman"/>
          <w:sz w:val="24"/>
          <w:szCs w:val="24"/>
        </w:rPr>
      </w:pPr>
    </w:p>
    <w:p w14:paraId="4FE9F8F6" w14:textId="77777777" w:rsidR="00083AF4" w:rsidRPr="00083AF4" w:rsidRDefault="00083AF4" w:rsidP="00AB4D08">
      <w:pPr>
        <w:spacing w:line="240" w:lineRule="auto"/>
        <w:ind w:left="567"/>
        <w:contextualSpacing/>
        <w:jc w:val="both"/>
        <w:rPr>
          <w:rFonts w:ascii="Times New Roman" w:eastAsia="Arial" w:hAnsi="Times New Roman"/>
          <w:sz w:val="24"/>
          <w:szCs w:val="24"/>
        </w:rPr>
      </w:pPr>
      <w:r w:rsidRPr="00083AF4">
        <w:rPr>
          <w:rFonts w:ascii="Times New Roman" w:eastAsia="Arial" w:hAnsi="Times New Roman"/>
          <w:sz w:val="24"/>
          <w:szCs w:val="24"/>
        </w:rPr>
        <w:t>Deterioro de Inversiones</w:t>
      </w:r>
    </w:p>
    <w:p w14:paraId="5E00C46A" w14:textId="77777777" w:rsidR="00083AF4" w:rsidRPr="00083AF4" w:rsidRDefault="00083AF4" w:rsidP="00AB4D08">
      <w:pPr>
        <w:spacing w:line="240" w:lineRule="auto"/>
        <w:ind w:left="567"/>
        <w:contextualSpacing/>
        <w:jc w:val="both"/>
        <w:rPr>
          <w:rFonts w:ascii="Times New Roman" w:eastAsia="Arial" w:hAnsi="Times New Roman"/>
          <w:sz w:val="24"/>
          <w:szCs w:val="24"/>
        </w:rPr>
      </w:pPr>
    </w:p>
    <w:p w14:paraId="5E7C088C" w14:textId="640CB1D3" w:rsidR="00083AF4" w:rsidRPr="00083AF4" w:rsidRDefault="00083AF4" w:rsidP="00AB4D08">
      <w:pPr>
        <w:spacing w:line="240" w:lineRule="auto"/>
        <w:ind w:left="567"/>
        <w:contextualSpacing/>
        <w:jc w:val="both"/>
        <w:rPr>
          <w:rFonts w:ascii="Times New Roman" w:eastAsia="Arial" w:hAnsi="Times New Roman"/>
          <w:sz w:val="24"/>
          <w:szCs w:val="24"/>
          <w:highlight w:val="yellow"/>
        </w:rPr>
      </w:pPr>
      <w:r w:rsidRPr="00083AF4">
        <w:rPr>
          <w:rFonts w:ascii="Times New Roman" w:eastAsia="Arial" w:hAnsi="Times New Roman"/>
          <w:sz w:val="24"/>
          <w:szCs w:val="24"/>
        </w:rPr>
        <w:t>Constituye el reconocimiento de la pérdida por deterioro de las inversiones de administración de liquidez clasificadas al costo. Durante la vigencia 2019 se presentó la reversión total de la pérdida por deterioro causada, recuperándose incluso parte del deterioro causado durante la vigencia 2018</w:t>
      </w:r>
      <w:r>
        <w:rPr>
          <w:rFonts w:ascii="Times New Roman" w:eastAsia="Arial" w:hAnsi="Times New Roman"/>
          <w:sz w:val="24"/>
          <w:szCs w:val="24"/>
        </w:rPr>
        <w:t>,</w:t>
      </w:r>
      <w:r w:rsidRPr="00083AF4">
        <w:rPr>
          <w:rFonts w:ascii="Times New Roman" w:eastAsia="Arial" w:hAnsi="Times New Roman"/>
          <w:sz w:val="24"/>
          <w:szCs w:val="24"/>
        </w:rPr>
        <w:t xml:space="preserve"> que correspondía a las inversiones en las entidades Transmilenio S.A. y E.T.B. S.A. E.S.P</w:t>
      </w:r>
      <w:r>
        <w:rPr>
          <w:rFonts w:ascii="Times New Roman" w:eastAsia="Arial" w:hAnsi="Times New Roman"/>
          <w:sz w:val="24"/>
          <w:szCs w:val="24"/>
        </w:rPr>
        <w:t>.,</w:t>
      </w:r>
      <w:r w:rsidRPr="00083AF4">
        <w:rPr>
          <w:rFonts w:ascii="Times New Roman" w:eastAsia="Arial" w:hAnsi="Times New Roman"/>
          <w:sz w:val="24"/>
          <w:szCs w:val="24"/>
        </w:rPr>
        <w:t xml:space="preserve"> como podemos observar en la revelación referente a las inversiones, por lo que no se presenta saldo en el gasto por esta partida.</w:t>
      </w:r>
    </w:p>
    <w:p w14:paraId="7C79E223" w14:textId="77777777" w:rsidR="00083AF4" w:rsidRDefault="00083AF4" w:rsidP="00AB4D08">
      <w:pPr>
        <w:spacing w:after="0" w:line="240" w:lineRule="auto"/>
        <w:contextualSpacing/>
        <w:jc w:val="both"/>
        <w:rPr>
          <w:rFonts w:ascii="Times New Roman" w:hAnsi="Times New Roman"/>
          <w:sz w:val="24"/>
          <w:szCs w:val="24"/>
        </w:rPr>
      </w:pPr>
    </w:p>
    <w:p w14:paraId="01D4E9ED" w14:textId="450FBACA" w:rsidR="00306ACC" w:rsidRDefault="00306ACC"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 xml:space="preserve">Deterioro </w:t>
      </w:r>
      <w:r>
        <w:rPr>
          <w:rFonts w:ascii="Times New Roman" w:eastAsia="Arial" w:hAnsi="Times New Roman"/>
          <w:sz w:val="24"/>
          <w:szCs w:val="24"/>
        </w:rPr>
        <w:t>cuentas por cobrar</w:t>
      </w:r>
    </w:p>
    <w:p w14:paraId="28905B6A" w14:textId="77777777" w:rsidR="00306ACC" w:rsidRPr="00066893" w:rsidRDefault="00306ACC" w:rsidP="00AB4D08">
      <w:pPr>
        <w:spacing w:line="240" w:lineRule="auto"/>
        <w:ind w:left="567"/>
        <w:contextualSpacing/>
        <w:jc w:val="both"/>
        <w:rPr>
          <w:rFonts w:ascii="Times New Roman" w:eastAsia="Arial" w:hAnsi="Times New Roman"/>
          <w:sz w:val="24"/>
          <w:szCs w:val="24"/>
        </w:rPr>
      </w:pPr>
    </w:p>
    <w:p w14:paraId="601ED7DA" w14:textId="77777777" w:rsidR="00306ACC" w:rsidRPr="00066893" w:rsidRDefault="00306ACC" w:rsidP="00AB4D08">
      <w:pPr>
        <w:spacing w:line="240" w:lineRule="auto"/>
        <w:ind w:left="567"/>
        <w:contextualSpacing/>
        <w:jc w:val="both"/>
        <w:rPr>
          <w:rFonts w:ascii="Times New Roman" w:hAnsi="Times New Roman"/>
          <w:sz w:val="24"/>
          <w:szCs w:val="24"/>
        </w:rPr>
      </w:pPr>
      <w:r w:rsidRPr="00066893">
        <w:rPr>
          <w:rFonts w:ascii="Times New Roman" w:eastAsia="Arial" w:hAnsi="Times New Roman"/>
          <w:sz w:val="24"/>
          <w:szCs w:val="24"/>
        </w:rPr>
        <w:t>Contribuciones, tasas e ingresos no tributarios</w:t>
      </w:r>
      <w:r w:rsidRPr="00066893">
        <w:rPr>
          <w:rFonts w:ascii="Times New Roman" w:hAnsi="Times New Roman"/>
          <w:sz w:val="24"/>
          <w:szCs w:val="24"/>
        </w:rPr>
        <w:t xml:space="preserve"> </w:t>
      </w:r>
    </w:p>
    <w:p w14:paraId="1A4BAD3A" w14:textId="77777777" w:rsidR="00306ACC" w:rsidRPr="00066893" w:rsidRDefault="00306ACC" w:rsidP="00AB4D08">
      <w:pPr>
        <w:spacing w:line="240" w:lineRule="auto"/>
        <w:ind w:left="567"/>
        <w:contextualSpacing/>
        <w:jc w:val="both"/>
        <w:rPr>
          <w:rFonts w:ascii="Times New Roman" w:eastAsia="Arial" w:hAnsi="Times New Roman"/>
          <w:sz w:val="24"/>
          <w:szCs w:val="24"/>
        </w:rPr>
      </w:pPr>
    </w:p>
    <w:p w14:paraId="64414B2E" w14:textId="77777777" w:rsidR="00306ACC" w:rsidRPr="00066893" w:rsidRDefault="00306ACC"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Representa el valor estimado de la posible pérdida que se origina en las cuentas por cobrar clasificadas al costo cuando el valor en libros de la cuenta por cobrar excede el valor presente de los flujos de efectivo futuros estimados.</w:t>
      </w:r>
    </w:p>
    <w:p w14:paraId="37EE1DFF" w14:textId="77777777" w:rsidR="00306ACC" w:rsidRPr="00066893" w:rsidRDefault="00306ACC" w:rsidP="00AB4D08">
      <w:pPr>
        <w:spacing w:line="240" w:lineRule="auto"/>
        <w:ind w:left="567"/>
        <w:contextualSpacing/>
        <w:jc w:val="both"/>
        <w:rPr>
          <w:rFonts w:ascii="Times New Roman" w:eastAsia="Arial" w:hAnsi="Times New Roman"/>
          <w:sz w:val="24"/>
          <w:szCs w:val="24"/>
        </w:rPr>
      </w:pPr>
    </w:p>
    <w:p w14:paraId="450183E5" w14:textId="77777777" w:rsidR="00306ACC" w:rsidRPr="00066893" w:rsidRDefault="00306ACC"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t>Causado en la vigencia por las cuentas por cobrar por concepto de contribución valorización $2.134.537.941.</w:t>
      </w:r>
    </w:p>
    <w:p w14:paraId="0733FF28" w14:textId="79F980EA" w:rsidR="00306ACC" w:rsidRPr="00066893" w:rsidRDefault="00306ACC" w:rsidP="00AB4D08">
      <w:pPr>
        <w:spacing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Gastos f</w:t>
      </w:r>
      <w:r w:rsidRPr="00066893">
        <w:rPr>
          <w:rFonts w:ascii="Times New Roman" w:eastAsia="Arial" w:hAnsi="Times New Roman"/>
          <w:sz w:val="24"/>
          <w:szCs w:val="24"/>
        </w:rPr>
        <w:t>inancieros</w:t>
      </w:r>
    </w:p>
    <w:p w14:paraId="70D05095" w14:textId="77777777" w:rsidR="00306ACC" w:rsidRPr="00066893" w:rsidRDefault="00306ACC" w:rsidP="00AB4D08">
      <w:pPr>
        <w:spacing w:line="240" w:lineRule="auto"/>
        <w:ind w:left="567"/>
        <w:contextualSpacing/>
        <w:jc w:val="both"/>
        <w:rPr>
          <w:rFonts w:ascii="Times New Roman" w:eastAsia="Arial" w:hAnsi="Times New Roman"/>
          <w:sz w:val="24"/>
          <w:szCs w:val="24"/>
        </w:rPr>
      </w:pPr>
    </w:p>
    <w:p w14:paraId="02B06708" w14:textId="77777777" w:rsidR="00306ACC" w:rsidRPr="00066893" w:rsidRDefault="00306ACC" w:rsidP="00AB4D08">
      <w:pPr>
        <w:spacing w:line="240" w:lineRule="auto"/>
        <w:ind w:left="567"/>
        <w:contextualSpacing/>
        <w:jc w:val="both"/>
        <w:rPr>
          <w:rFonts w:ascii="Times New Roman" w:eastAsia="Arial" w:hAnsi="Times New Roman"/>
          <w:sz w:val="24"/>
          <w:szCs w:val="24"/>
        </w:rPr>
      </w:pPr>
      <w:r w:rsidRPr="00066893">
        <w:rPr>
          <w:rFonts w:ascii="Times New Roman" w:eastAsia="Arial" w:hAnsi="Times New Roman"/>
          <w:sz w:val="24"/>
          <w:szCs w:val="24"/>
        </w:rPr>
        <w:lastRenderedPageBreak/>
        <w:t>Representa el valor de los gastos en los que incurre la entidad que se originan en la gestión realizada en valorización, por actualización de estados de cuenta, por reliquidaciones y de expedientes de reclamación resueltos y actuaciones oficiosas en la Subdirección Técnica Jurídica y de Ejecuciones Fiscales.</w:t>
      </w:r>
    </w:p>
    <w:p w14:paraId="446D5DF8" w14:textId="77777777" w:rsidR="00306ACC" w:rsidRPr="00066893" w:rsidRDefault="00306ACC" w:rsidP="00AB4D08">
      <w:pPr>
        <w:spacing w:line="240" w:lineRule="auto"/>
        <w:ind w:left="567"/>
        <w:contextualSpacing/>
        <w:jc w:val="both"/>
        <w:rPr>
          <w:rFonts w:ascii="Times New Roman" w:eastAsia="Arial" w:hAnsi="Times New Roman"/>
          <w:sz w:val="24"/>
          <w:szCs w:val="24"/>
        </w:rPr>
      </w:pPr>
    </w:p>
    <w:p w14:paraId="6D317CE0" w14:textId="5F202FDF" w:rsidR="00306ACC" w:rsidRDefault="00306ACC" w:rsidP="00AB4D08">
      <w:pPr>
        <w:spacing w:after="0" w:line="240" w:lineRule="auto"/>
        <w:ind w:left="567"/>
        <w:contextualSpacing/>
        <w:jc w:val="both"/>
        <w:rPr>
          <w:rFonts w:ascii="Times New Roman" w:eastAsia="Arial" w:hAnsi="Times New Roman"/>
          <w:sz w:val="24"/>
          <w:szCs w:val="24"/>
        </w:rPr>
      </w:pPr>
      <w:r>
        <w:rPr>
          <w:rFonts w:ascii="Times New Roman" w:eastAsia="Arial" w:hAnsi="Times New Roman"/>
          <w:sz w:val="24"/>
          <w:szCs w:val="24"/>
        </w:rPr>
        <w:t xml:space="preserve">Con corte a 31 de diciembre de 2019, se presenta el siguiente saldo </w:t>
      </w:r>
      <w:r w:rsidR="00C4244C">
        <w:rPr>
          <w:rFonts w:ascii="Times New Roman" w:eastAsia="Arial" w:hAnsi="Times New Roman"/>
          <w:sz w:val="24"/>
          <w:szCs w:val="24"/>
        </w:rPr>
        <w:t xml:space="preserve">comparativo, </w:t>
      </w:r>
      <w:r>
        <w:rPr>
          <w:rFonts w:ascii="Times New Roman" w:eastAsia="Arial" w:hAnsi="Times New Roman"/>
          <w:sz w:val="24"/>
          <w:szCs w:val="24"/>
        </w:rPr>
        <w:t>por concepto de baja en cuentas por cobrar:</w:t>
      </w:r>
    </w:p>
    <w:p w14:paraId="4BDAB987" w14:textId="77777777" w:rsidR="00C4244C" w:rsidRDefault="00C4244C" w:rsidP="00AB4D08">
      <w:pPr>
        <w:spacing w:after="0" w:line="240" w:lineRule="auto"/>
        <w:ind w:left="567"/>
        <w:contextualSpacing/>
        <w:jc w:val="both"/>
        <w:rPr>
          <w:rFonts w:ascii="Times New Roman" w:eastAsia="Arial" w:hAnsi="Times New Roman"/>
          <w:sz w:val="24"/>
          <w:szCs w:val="24"/>
        </w:rPr>
      </w:pPr>
    </w:p>
    <w:p w14:paraId="210C45B0" w14:textId="739930EB" w:rsidR="00C4244C" w:rsidRDefault="00C4244C" w:rsidP="00AB4D08">
      <w:pPr>
        <w:spacing w:after="0" w:line="240" w:lineRule="auto"/>
        <w:ind w:left="567"/>
        <w:contextualSpacing/>
        <w:jc w:val="both"/>
        <w:rPr>
          <w:rFonts w:ascii="Times New Roman" w:eastAsia="Arial" w:hAnsi="Times New Roman"/>
          <w:sz w:val="24"/>
          <w:szCs w:val="24"/>
        </w:rPr>
      </w:pPr>
      <w:r w:rsidRPr="00C4244C">
        <w:rPr>
          <w:noProof/>
          <w:lang w:eastAsia="es-CO"/>
        </w:rPr>
        <w:drawing>
          <wp:inline distT="0" distB="0" distL="0" distR="0" wp14:anchorId="2D71A502" wp14:editId="5B2CC220">
            <wp:extent cx="5624361" cy="1351722"/>
            <wp:effectExtent l="0" t="0" r="0" b="127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0159" cy="1357922"/>
                    </a:xfrm>
                    <a:prstGeom prst="rect">
                      <a:avLst/>
                    </a:prstGeom>
                    <a:noFill/>
                    <a:ln>
                      <a:noFill/>
                    </a:ln>
                  </pic:spPr>
                </pic:pic>
              </a:graphicData>
            </a:graphic>
          </wp:inline>
        </w:drawing>
      </w:r>
    </w:p>
    <w:p w14:paraId="0ECC5D91" w14:textId="448A2F1B" w:rsidR="00205CCD" w:rsidRDefault="00205CCD" w:rsidP="00AB4D08">
      <w:pPr>
        <w:pStyle w:val="NormalWeb"/>
        <w:shd w:val="clear" w:color="auto" w:fill="FFFFFF"/>
        <w:spacing w:after="0" w:afterAutospacing="0"/>
        <w:ind w:left="567"/>
        <w:contextualSpacing/>
        <w:jc w:val="both"/>
        <w:rPr>
          <w:rFonts w:eastAsia="Arial"/>
          <w:lang w:eastAsia="en-US"/>
        </w:rPr>
      </w:pPr>
      <w:r>
        <w:rPr>
          <w:rFonts w:eastAsia="Arial"/>
          <w:lang w:eastAsia="en-US"/>
        </w:rPr>
        <w:t>Otras transferencias</w:t>
      </w:r>
    </w:p>
    <w:p w14:paraId="14776411" w14:textId="77777777" w:rsidR="00E90A32" w:rsidRDefault="00E90A32" w:rsidP="00AB4D08">
      <w:pPr>
        <w:pStyle w:val="NormalWeb"/>
        <w:shd w:val="clear" w:color="auto" w:fill="FFFFFF"/>
        <w:spacing w:after="0" w:afterAutospacing="0"/>
        <w:ind w:left="567"/>
        <w:contextualSpacing/>
        <w:jc w:val="both"/>
        <w:rPr>
          <w:rFonts w:eastAsia="Arial"/>
          <w:lang w:eastAsia="en-US"/>
        </w:rPr>
      </w:pPr>
    </w:p>
    <w:p w14:paraId="05D1DE14" w14:textId="4A1862CA" w:rsidR="00205CCD" w:rsidRPr="00205CCD" w:rsidRDefault="00205CCD" w:rsidP="00AB4D08">
      <w:pPr>
        <w:pStyle w:val="NormalWeb"/>
        <w:shd w:val="clear" w:color="auto" w:fill="FFFFFF"/>
        <w:spacing w:after="0" w:afterAutospacing="0"/>
        <w:ind w:left="567"/>
        <w:contextualSpacing/>
        <w:jc w:val="both"/>
        <w:rPr>
          <w:rFonts w:eastAsia="Arial"/>
          <w:lang w:eastAsia="en-US"/>
        </w:rPr>
      </w:pPr>
      <w:r>
        <w:rPr>
          <w:rFonts w:eastAsia="Arial"/>
          <w:lang w:eastAsia="en-US"/>
        </w:rPr>
        <w:t>El saldo de la cuenta contable de los b</w:t>
      </w:r>
      <w:r w:rsidRPr="00205CCD">
        <w:rPr>
          <w:rFonts w:eastAsia="Arial"/>
          <w:lang w:eastAsia="en-US"/>
        </w:rPr>
        <w:t>ienes entregados sin contraprestación</w:t>
      </w:r>
      <w:r>
        <w:rPr>
          <w:rFonts w:eastAsia="Arial"/>
          <w:lang w:eastAsia="en-US"/>
        </w:rPr>
        <w:t xml:space="preserve">, presenta un saldo de </w:t>
      </w:r>
      <w:r w:rsidRPr="00205CCD">
        <w:rPr>
          <w:rFonts w:eastAsia="Arial"/>
          <w:lang w:eastAsia="en-US"/>
        </w:rPr>
        <w:t>$18.973.327.500</w:t>
      </w:r>
      <w:r>
        <w:rPr>
          <w:rFonts w:eastAsia="Arial"/>
          <w:lang w:eastAsia="en-US"/>
        </w:rPr>
        <w:t xml:space="preserve">, que </w:t>
      </w:r>
      <w:r w:rsidRPr="00205CCD">
        <w:rPr>
          <w:rFonts w:eastAsia="Arial"/>
          <w:lang w:eastAsia="en-US"/>
        </w:rPr>
        <w:t>corresponde a predios entregados al D</w:t>
      </w:r>
      <w:r>
        <w:rPr>
          <w:rFonts w:eastAsia="Arial"/>
          <w:lang w:eastAsia="en-US"/>
        </w:rPr>
        <w:t>ADEP</w:t>
      </w:r>
      <w:r w:rsidRPr="00205CCD">
        <w:rPr>
          <w:rFonts w:eastAsia="Arial"/>
          <w:lang w:eastAsia="en-US"/>
        </w:rPr>
        <w:t>, de acuerdo con la solicitud realizada por dicha entidad.</w:t>
      </w:r>
    </w:p>
    <w:p w14:paraId="5587C0CA" w14:textId="77777777" w:rsidR="007B2F25" w:rsidRDefault="007B2F25" w:rsidP="00AB4D08">
      <w:pPr>
        <w:spacing w:after="0" w:line="240" w:lineRule="auto"/>
        <w:ind w:left="567"/>
        <w:contextualSpacing/>
        <w:jc w:val="both"/>
        <w:rPr>
          <w:rFonts w:ascii="Times New Roman" w:eastAsia="Arial" w:hAnsi="Times New Roman"/>
          <w:sz w:val="24"/>
          <w:szCs w:val="24"/>
        </w:rPr>
      </w:pPr>
    </w:p>
    <w:p w14:paraId="74673EE0" w14:textId="2BF6DDF4" w:rsidR="003E736E" w:rsidRPr="002E2B96" w:rsidRDefault="0099011D" w:rsidP="00AB4D08">
      <w:pPr>
        <w:pStyle w:val="Ttulo2"/>
        <w:numPr>
          <w:ilvl w:val="1"/>
          <w:numId w:val="37"/>
        </w:numPr>
        <w:spacing w:line="240" w:lineRule="auto"/>
        <w:ind w:left="567" w:hanging="567"/>
        <w:contextualSpacing/>
        <w:rPr>
          <w:rFonts w:cs="Times New Roman"/>
          <w:szCs w:val="24"/>
        </w:rPr>
      </w:pPr>
      <w:bookmarkStart w:id="89" w:name="_Toc32317299"/>
      <w:r w:rsidRPr="002E2B96">
        <w:rPr>
          <w:rFonts w:cs="Times New Roman"/>
          <w:szCs w:val="24"/>
        </w:rPr>
        <w:t>Gastos por provisiones de litigio</w:t>
      </w:r>
      <w:r w:rsidR="009C65DC">
        <w:rPr>
          <w:rFonts w:cs="Times New Roman"/>
          <w:szCs w:val="24"/>
        </w:rPr>
        <w:t>s</w:t>
      </w:r>
      <w:r w:rsidRPr="002E2B96">
        <w:rPr>
          <w:rFonts w:cs="Times New Roman"/>
          <w:szCs w:val="24"/>
        </w:rPr>
        <w:t xml:space="preserve"> y demandas</w:t>
      </w:r>
      <w:bookmarkEnd w:id="89"/>
    </w:p>
    <w:p w14:paraId="37E41149" w14:textId="77777777" w:rsidR="003E736E" w:rsidRPr="002E2B96" w:rsidRDefault="003E736E" w:rsidP="00AB4D08">
      <w:pPr>
        <w:spacing w:after="0" w:line="240" w:lineRule="auto"/>
        <w:ind w:left="720"/>
        <w:contextualSpacing/>
        <w:jc w:val="both"/>
        <w:rPr>
          <w:rFonts w:ascii="Times New Roman" w:hAnsi="Times New Roman"/>
          <w:sz w:val="24"/>
          <w:szCs w:val="24"/>
        </w:rPr>
      </w:pPr>
    </w:p>
    <w:p w14:paraId="60CE2839" w14:textId="77777777" w:rsidR="005738C4" w:rsidRPr="002E2B96" w:rsidRDefault="005738C4" w:rsidP="00AB4D08">
      <w:pPr>
        <w:spacing w:line="240" w:lineRule="auto"/>
        <w:ind w:left="567"/>
        <w:contextualSpacing/>
        <w:jc w:val="both"/>
        <w:rPr>
          <w:rFonts w:ascii="Times New Roman" w:eastAsia="Arial" w:hAnsi="Times New Roman"/>
          <w:sz w:val="24"/>
          <w:szCs w:val="24"/>
        </w:rPr>
      </w:pPr>
      <w:r w:rsidRPr="002E2B96">
        <w:rPr>
          <w:rFonts w:ascii="Times New Roman" w:eastAsia="Arial" w:hAnsi="Times New Roman"/>
          <w:sz w:val="24"/>
          <w:szCs w:val="24"/>
        </w:rPr>
        <w:t>La partida de gasto por provisiones corresponde al registro de la valoración de los procesos judiciales clasificados como probables, así: Administrativas por $12.200.223.728, laborales por $ 767.285.549 y otros litigios por $18.507.516 actualizados de acuerdo con la información suministrada por el Sistema de Información de Procesos Judiciales SIPROJ.</w:t>
      </w:r>
    </w:p>
    <w:p w14:paraId="5FE9F8FC" w14:textId="77777777" w:rsidR="005738C4" w:rsidRPr="002E2B96" w:rsidRDefault="005738C4" w:rsidP="00AB4D08">
      <w:pPr>
        <w:spacing w:line="240" w:lineRule="auto"/>
        <w:ind w:left="567"/>
        <w:contextualSpacing/>
        <w:jc w:val="both"/>
        <w:rPr>
          <w:rFonts w:ascii="Times New Roman" w:eastAsia="Arial" w:hAnsi="Times New Roman"/>
          <w:b/>
          <w:sz w:val="24"/>
          <w:szCs w:val="24"/>
        </w:rPr>
      </w:pPr>
    </w:p>
    <w:p w14:paraId="5046683F" w14:textId="77777777" w:rsidR="005738C4" w:rsidRPr="002E2B96" w:rsidRDefault="005738C4" w:rsidP="00AB4D08">
      <w:pPr>
        <w:spacing w:line="240" w:lineRule="auto"/>
        <w:ind w:left="567"/>
        <w:contextualSpacing/>
        <w:jc w:val="both"/>
        <w:rPr>
          <w:rFonts w:ascii="Times New Roman" w:eastAsia="Arial" w:hAnsi="Times New Roman"/>
          <w:sz w:val="24"/>
          <w:szCs w:val="24"/>
        </w:rPr>
      </w:pPr>
      <w:r w:rsidRPr="002E2B96">
        <w:rPr>
          <w:rFonts w:ascii="Times New Roman" w:eastAsia="Arial" w:hAnsi="Times New Roman"/>
          <w:sz w:val="24"/>
          <w:szCs w:val="24"/>
        </w:rPr>
        <w:t>Sentencias</w:t>
      </w:r>
    </w:p>
    <w:p w14:paraId="381A2515" w14:textId="77777777" w:rsidR="005738C4" w:rsidRPr="002E2B96" w:rsidRDefault="005738C4" w:rsidP="00AB4D08">
      <w:pPr>
        <w:spacing w:line="240" w:lineRule="auto"/>
        <w:ind w:left="567"/>
        <w:contextualSpacing/>
        <w:jc w:val="both"/>
        <w:rPr>
          <w:rFonts w:ascii="Times New Roman" w:eastAsia="Arial" w:hAnsi="Times New Roman"/>
          <w:sz w:val="24"/>
          <w:szCs w:val="24"/>
        </w:rPr>
      </w:pPr>
    </w:p>
    <w:p w14:paraId="5E0D7B8E" w14:textId="6943E77A" w:rsidR="005738C4" w:rsidRDefault="005738C4" w:rsidP="00AB4D08">
      <w:pPr>
        <w:spacing w:line="240" w:lineRule="auto"/>
        <w:ind w:left="567"/>
        <w:contextualSpacing/>
        <w:jc w:val="both"/>
        <w:rPr>
          <w:rFonts w:ascii="Times New Roman" w:eastAsia="Arial" w:hAnsi="Times New Roman"/>
          <w:sz w:val="24"/>
          <w:szCs w:val="24"/>
        </w:rPr>
      </w:pPr>
      <w:r w:rsidRPr="002E2B96">
        <w:rPr>
          <w:rFonts w:ascii="Times New Roman" w:eastAsia="Arial" w:hAnsi="Times New Roman"/>
          <w:sz w:val="24"/>
          <w:szCs w:val="24"/>
        </w:rPr>
        <w:t>El rubro de sentencias y laudos arbitrales por valor de $16.202.689.450, corresponde al gasto registrado por procesos que no se encontraban provisionados o procesos cuya provisión resultaba menor al valor a cargo de la entidad. El incremento durante la vigencia 2019 corresponde principalmente al proceso ejecutivo 2012-00559 por valor de $15.758.909.089 el cual se encontraba clasificado como posible, de acuerdo al reporte SIPROJ, por lo tanto no se encontraba provisionado.</w:t>
      </w:r>
    </w:p>
    <w:p w14:paraId="4346A389" w14:textId="77777777" w:rsidR="00E90A32" w:rsidRDefault="00E90A32" w:rsidP="00AB4D08">
      <w:pPr>
        <w:spacing w:line="240" w:lineRule="auto"/>
        <w:ind w:left="567"/>
        <w:contextualSpacing/>
        <w:jc w:val="both"/>
        <w:rPr>
          <w:rFonts w:ascii="Times New Roman" w:eastAsia="Arial" w:hAnsi="Times New Roman"/>
          <w:sz w:val="24"/>
          <w:szCs w:val="24"/>
        </w:rPr>
      </w:pPr>
    </w:p>
    <w:p w14:paraId="7F4AACF5" w14:textId="54DCE6D0" w:rsidR="005738C4" w:rsidRPr="002E2B96" w:rsidRDefault="005738C4" w:rsidP="00AB4D08">
      <w:pPr>
        <w:pStyle w:val="Ttulo2"/>
        <w:numPr>
          <w:ilvl w:val="1"/>
          <w:numId w:val="37"/>
        </w:numPr>
        <w:spacing w:line="240" w:lineRule="auto"/>
        <w:ind w:left="567" w:hanging="567"/>
        <w:contextualSpacing/>
        <w:rPr>
          <w:rFonts w:cs="Times New Roman"/>
          <w:szCs w:val="24"/>
        </w:rPr>
      </w:pPr>
      <w:bookmarkStart w:id="90" w:name="_Toc32317300"/>
      <w:r w:rsidRPr="002E2B96">
        <w:rPr>
          <w:rFonts w:cs="Times New Roman"/>
          <w:szCs w:val="24"/>
        </w:rPr>
        <w:t>Pérdida en baja de activos</w:t>
      </w:r>
      <w:bookmarkEnd w:id="90"/>
    </w:p>
    <w:p w14:paraId="6CE33110" w14:textId="77777777" w:rsidR="0099011D" w:rsidRPr="002E2B96" w:rsidRDefault="0099011D" w:rsidP="00AB4D08">
      <w:pPr>
        <w:spacing w:after="0" w:line="240" w:lineRule="auto"/>
        <w:ind w:left="720"/>
        <w:contextualSpacing/>
        <w:jc w:val="both"/>
        <w:rPr>
          <w:rFonts w:ascii="Times New Roman" w:hAnsi="Times New Roman"/>
          <w:sz w:val="24"/>
          <w:szCs w:val="24"/>
        </w:rPr>
      </w:pPr>
    </w:p>
    <w:p w14:paraId="3756F895" w14:textId="77777777" w:rsidR="005738C4" w:rsidRPr="002E2B96" w:rsidRDefault="005738C4" w:rsidP="00AB4D08">
      <w:pPr>
        <w:spacing w:line="240" w:lineRule="auto"/>
        <w:ind w:left="567"/>
        <w:contextualSpacing/>
        <w:jc w:val="both"/>
        <w:rPr>
          <w:rFonts w:ascii="Times New Roman" w:eastAsia="Arial" w:hAnsi="Times New Roman"/>
          <w:sz w:val="24"/>
          <w:szCs w:val="24"/>
        </w:rPr>
      </w:pPr>
      <w:r w:rsidRPr="002E2B96">
        <w:rPr>
          <w:rFonts w:ascii="Times New Roman" w:eastAsia="Arial" w:hAnsi="Times New Roman"/>
          <w:sz w:val="24"/>
          <w:szCs w:val="24"/>
        </w:rPr>
        <w:t>El valor de $572.476.821corresponde al gasto generado por la baja de activos muebles e intangibles, mediante la Resolución 3113/19 principalmente.</w:t>
      </w:r>
    </w:p>
    <w:p w14:paraId="3F7DE9D9" w14:textId="77777777" w:rsidR="0065161C" w:rsidRPr="002E2B96" w:rsidRDefault="0065161C" w:rsidP="00AB4D08">
      <w:pPr>
        <w:spacing w:after="0" w:line="240" w:lineRule="auto"/>
        <w:contextualSpacing/>
        <w:jc w:val="both"/>
        <w:rPr>
          <w:rFonts w:ascii="Times New Roman" w:hAnsi="Times New Roman"/>
          <w:b/>
          <w:sz w:val="24"/>
          <w:szCs w:val="24"/>
        </w:rPr>
      </w:pPr>
    </w:p>
    <w:p w14:paraId="21E0FAFB" w14:textId="327B5A6C" w:rsidR="00480558" w:rsidRPr="002E2B96" w:rsidRDefault="00480558" w:rsidP="00AB4D08">
      <w:pPr>
        <w:pStyle w:val="Ttulo1"/>
        <w:contextualSpacing/>
        <w:rPr>
          <w:rFonts w:cs="Times New Roman"/>
          <w:sz w:val="24"/>
          <w:szCs w:val="24"/>
        </w:rPr>
      </w:pPr>
      <w:bookmarkStart w:id="91" w:name="_Toc32317301"/>
      <w:r w:rsidRPr="002E2B96">
        <w:rPr>
          <w:rFonts w:cs="Times New Roman"/>
          <w:sz w:val="24"/>
          <w:szCs w:val="24"/>
        </w:rPr>
        <w:lastRenderedPageBreak/>
        <w:t>NOTA 3</w:t>
      </w:r>
      <w:r w:rsidR="008E0423" w:rsidRPr="002E2B96">
        <w:rPr>
          <w:rFonts w:cs="Times New Roman"/>
          <w:sz w:val="24"/>
          <w:szCs w:val="24"/>
        </w:rPr>
        <w:t>7</w:t>
      </w:r>
      <w:r w:rsidRPr="002E2B96">
        <w:rPr>
          <w:rFonts w:cs="Times New Roman"/>
          <w:sz w:val="24"/>
          <w:szCs w:val="24"/>
        </w:rPr>
        <w:t>. REVELACIONES SOBRE EL ESTADO DE FLUJO DE EFECTIVO</w:t>
      </w:r>
      <w:bookmarkEnd w:id="91"/>
    </w:p>
    <w:p w14:paraId="4F093757" w14:textId="77777777" w:rsidR="00480558" w:rsidRPr="002E2B96" w:rsidRDefault="00480558" w:rsidP="00AB4D08">
      <w:pPr>
        <w:spacing w:after="0" w:line="240" w:lineRule="auto"/>
        <w:contextualSpacing/>
        <w:jc w:val="both"/>
        <w:rPr>
          <w:rFonts w:ascii="Times New Roman" w:hAnsi="Times New Roman"/>
          <w:sz w:val="24"/>
          <w:szCs w:val="24"/>
        </w:rPr>
      </w:pPr>
    </w:p>
    <w:p w14:paraId="2F55FF49" w14:textId="77777777" w:rsidR="00F127E7" w:rsidRPr="00F127E7" w:rsidRDefault="00F127E7" w:rsidP="00AB4D08">
      <w:pPr>
        <w:spacing w:line="240" w:lineRule="auto"/>
        <w:ind w:left="567"/>
        <w:contextualSpacing/>
        <w:rPr>
          <w:rFonts w:ascii="Times New Roman" w:hAnsi="Times New Roman"/>
          <w:sz w:val="24"/>
          <w:szCs w:val="24"/>
          <w:lang w:val="es-MX"/>
        </w:rPr>
      </w:pPr>
      <w:r w:rsidRPr="00F127E7">
        <w:rPr>
          <w:rFonts w:ascii="Times New Roman" w:hAnsi="Times New Roman"/>
          <w:sz w:val="24"/>
          <w:szCs w:val="24"/>
          <w:lang w:val="es-MX"/>
        </w:rPr>
        <w:t xml:space="preserve">Notas de carácter general </w:t>
      </w:r>
    </w:p>
    <w:p w14:paraId="112F62F2"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Este estado debe ser elaborado por las empresas públicas y revela en forma comparativa con el período contable inmediatamente anterior, a nivel de cuenta, los fondos provistos y utilizados, clasificados en actividades de operación, inversión y financiación. Para la presente vigencia, no se presenta de forma comparativa, por cuanto para el cierre contable de 2018, su elaboración no fue obligatoria.</w:t>
      </w:r>
    </w:p>
    <w:p w14:paraId="1628B2AB" w14:textId="77777777" w:rsidR="00327557" w:rsidRDefault="00327557" w:rsidP="00AB4D08">
      <w:pPr>
        <w:spacing w:line="240" w:lineRule="auto"/>
        <w:ind w:left="567"/>
        <w:contextualSpacing/>
        <w:jc w:val="both"/>
        <w:rPr>
          <w:rFonts w:ascii="Times New Roman" w:hAnsi="Times New Roman"/>
          <w:sz w:val="24"/>
          <w:szCs w:val="24"/>
        </w:rPr>
      </w:pPr>
    </w:p>
    <w:p w14:paraId="61F3A611"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Para la elaboración se utilizó el método directo, el cual presenta el origen y aplicación del efectivo y equivalentes a efectivo, relacionados con las actividades de operación, inversión y financiación, obteniendo los flujos netos de efectivo por cada una de estas actividades, para calcular el incremento o disminución neto del efectivo y equivalentes al efectivo.</w:t>
      </w:r>
    </w:p>
    <w:p w14:paraId="5B36D74E" w14:textId="77777777" w:rsidR="00F127E7" w:rsidRPr="00F127E7" w:rsidRDefault="00F127E7" w:rsidP="00AB4D08">
      <w:pPr>
        <w:pStyle w:val="Default"/>
        <w:ind w:left="567"/>
        <w:contextualSpacing/>
        <w:jc w:val="both"/>
        <w:rPr>
          <w:rFonts w:ascii="Times New Roman" w:hAnsi="Times New Roman" w:cs="Times New Roman"/>
        </w:rPr>
      </w:pPr>
      <w:r w:rsidRPr="00F127E7">
        <w:rPr>
          <w:rFonts w:ascii="Times New Roman" w:hAnsi="Times New Roman" w:cs="Times New Roman"/>
        </w:rPr>
        <w:t xml:space="preserve">Para obtener el flujo neto de efectivo originado en las actividades de operación se registran las partidas que generan o requieren de efectivo para el desarrollo de las funciones relacionadas con el cometido estatal, tales como recaudos por deudores, transferencias, avances y anticipos recibidos, depósitos recibidos en administración, así como los pagos originados por compra de inventario y pago de proveedores, bienes y servicios pagados por anticipado, pago de acreedores, entre otros. </w:t>
      </w:r>
    </w:p>
    <w:p w14:paraId="61EEB236" w14:textId="77777777" w:rsidR="00F127E7" w:rsidRPr="00F127E7" w:rsidRDefault="00F127E7" w:rsidP="00AB4D08">
      <w:pPr>
        <w:pStyle w:val="Default"/>
        <w:ind w:left="567"/>
        <w:contextualSpacing/>
        <w:jc w:val="both"/>
        <w:rPr>
          <w:rFonts w:ascii="Times New Roman" w:hAnsi="Times New Roman" w:cs="Times New Roman"/>
        </w:rPr>
      </w:pPr>
    </w:p>
    <w:p w14:paraId="1D37AA85" w14:textId="77777777" w:rsidR="00F127E7" w:rsidRPr="00F127E7" w:rsidRDefault="00F127E7" w:rsidP="00AB4D08">
      <w:pPr>
        <w:pStyle w:val="Default"/>
        <w:ind w:left="567"/>
        <w:contextualSpacing/>
        <w:jc w:val="both"/>
        <w:rPr>
          <w:rFonts w:ascii="Times New Roman" w:hAnsi="Times New Roman" w:cs="Times New Roman"/>
        </w:rPr>
      </w:pPr>
      <w:r w:rsidRPr="00F127E7">
        <w:rPr>
          <w:rFonts w:ascii="Times New Roman" w:hAnsi="Times New Roman" w:cs="Times New Roman"/>
        </w:rPr>
        <w:t xml:space="preserve">Igualmente se revelan las partidas propias de las actividades de inversión, como venta de propiedades, planta y equipo o inversiones que no han sido clasificadas como equivalentes a efectivo, entre otros y los valores pagados en la compra de estos mismos recursos, para obtener así el flujo neto de efectivo por actividades de inversión. </w:t>
      </w:r>
    </w:p>
    <w:p w14:paraId="7B956F2E" w14:textId="77777777" w:rsidR="00F127E7" w:rsidRPr="00F127E7" w:rsidRDefault="00F127E7" w:rsidP="00AB4D08">
      <w:pPr>
        <w:pStyle w:val="Default"/>
        <w:ind w:left="567"/>
        <w:contextualSpacing/>
        <w:jc w:val="both"/>
        <w:rPr>
          <w:rFonts w:ascii="Times New Roman" w:hAnsi="Times New Roman" w:cs="Times New Roman"/>
        </w:rPr>
      </w:pPr>
    </w:p>
    <w:p w14:paraId="2ED720C3" w14:textId="77777777" w:rsidR="00F127E7" w:rsidRPr="00F127E7" w:rsidRDefault="00F127E7" w:rsidP="00AB4D08">
      <w:pPr>
        <w:pStyle w:val="Default"/>
        <w:ind w:left="567"/>
        <w:contextualSpacing/>
        <w:jc w:val="both"/>
        <w:rPr>
          <w:rFonts w:ascii="Times New Roman" w:hAnsi="Times New Roman" w:cs="Times New Roman"/>
        </w:rPr>
      </w:pPr>
      <w:r w:rsidRPr="00F127E7">
        <w:rPr>
          <w:rFonts w:ascii="Times New Roman" w:hAnsi="Times New Roman" w:cs="Times New Roman"/>
        </w:rPr>
        <w:t xml:space="preserve">Además, se presentan las partidas propias de las actividades de financiación tales como préstamos recibidos, deuda por operaciones de crédito público y financiamiento, aportes de capital, así como el pago de dividendos y las amortizaciones por endeudamiento, obteniendo los flujos de efectivo por actividades de financiación. </w:t>
      </w:r>
    </w:p>
    <w:p w14:paraId="0E10A5CB" w14:textId="77777777" w:rsidR="00F127E7" w:rsidRPr="00F127E7" w:rsidRDefault="00F127E7" w:rsidP="00AB4D08">
      <w:pPr>
        <w:pStyle w:val="Default"/>
        <w:ind w:left="567"/>
        <w:contextualSpacing/>
        <w:jc w:val="both"/>
        <w:rPr>
          <w:rFonts w:ascii="Times New Roman" w:hAnsi="Times New Roman" w:cs="Times New Roman"/>
        </w:rPr>
      </w:pPr>
    </w:p>
    <w:p w14:paraId="2FB52521"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Finalmente se calcula el incremento o disminución del efectivo y equivalentes al efectivo, obtenido de la suma algebraica de los flujos netos de efectivo originados en las actividades de operación, inversión y financiación. A este valor se le suma el saldo inicial del efectivo y equivalentes al efectivo, para obtener el saldo final del período.</w:t>
      </w:r>
    </w:p>
    <w:p w14:paraId="69E02C14" w14:textId="77777777" w:rsidR="00F127E7" w:rsidRDefault="00F127E7" w:rsidP="00AB4D08">
      <w:pPr>
        <w:spacing w:line="240" w:lineRule="auto"/>
        <w:ind w:left="567"/>
        <w:contextualSpacing/>
        <w:jc w:val="both"/>
        <w:rPr>
          <w:rFonts w:ascii="Times New Roman" w:hAnsi="Times New Roman"/>
          <w:sz w:val="24"/>
          <w:szCs w:val="24"/>
        </w:rPr>
      </w:pPr>
    </w:p>
    <w:p w14:paraId="5E3CC61F"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Notas específicas.</w:t>
      </w:r>
    </w:p>
    <w:p w14:paraId="2198342F"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Flujo de operación</w:t>
      </w:r>
    </w:p>
    <w:p w14:paraId="6716C0AB" w14:textId="77777777" w:rsidR="00F127E7" w:rsidRPr="00F127E7" w:rsidRDefault="00F127E7" w:rsidP="00AB4D08">
      <w:pPr>
        <w:spacing w:line="240" w:lineRule="auto"/>
        <w:ind w:left="567"/>
        <w:contextualSpacing/>
        <w:jc w:val="both"/>
        <w:rPr>
          <w:rFonts w:ascii="Times New Roman" w:hAnsi="Times New Roman"/>
          <w:sz w:val="24"/>
          <w:szCs w:val="24"/>
        </w:rPr>
      </w:pPr>
      <w:r w:rsidRPr="00F127E7">
        <w:rPr>
          <w:rFonts w:ascii="Times New Roman" w:hAnsi="Times New Roman"/>
          <w:sz w:val="24"/>
          <w:szCs w:val="24"/>
        </w:rPr>
        <w:t>Partidas que generaron Efectivo en el periodo</w:t>
      </w:r>
    </w:p>
    <w:p w14:paraId="6EEA58E7" w14:textId="77777777" w:rsidR="00F127E7" w:rsidRPr="00F127E7" w:rsidRDefault="00F127E7" w:rsidP="00AB4D08">
      <w:pPr>
        <w:spacing w:line="240" w:lineRule="auto"/>
        <w:ind w:left="567"/>
        <w:contextualSpacing/>
        <w:jc w:val="both"/>
        <w:rPr>
          <w:rFonts w:ascii="Times New Roman" w:hAnsi="Times New Roman"/>
          <w:sz w:val="24"/>
          <w:szCs w:val="24"/>
        </w:rPr>
      </w:pPr>
    </w:p>
    <w:p w14:paraId="2F618EA1" w14:textId="356E4677" w:rsidR="00F127E7" w:rsidRPr="00F127E7" w:rsidRDefault="00F127E7" w:rsidP="00AB4D08">
      <w:pPr>
        <w:pStyle w:val="Prrafodelista"/>
        <w:numPr>
          <w:ilvl w:val="0"/>
          <w:numId w:val="6"/>
        </w:numPr>
        <w:spacing w:line="240" w:lineRule="auto"/>
        <w:jc w:val="both"/>
        <w:rPr>
          <w:rFonts w:ascii="Times New Roman" w:hAnsi="Times New Roman"/>
          <w:sz w:val="24"/>
          <w:szCs w:val="24"/>
        </w:rPr>
      </w:pPr>
      <w:r w:rsidRPr="00F127E7">
        <w:rPr>
          <w:rFonts w:ascii="Times New Roman" w:hAnsi="Times New Roman"/>
          <w:sz w:val="24"/>
          <w:szCs w:val="24"/>
        </w:rPr>
        <w:t xml:space="preserve">Deudores. Para determinar el efectivo provisto por recaudo de cartera, se incluyó el saldo inicial y final de las cuentas por cobrar, con excepción de las sumas vinculadas a las transferencias provenientes del Distrito Capital y la Nación por concepto de regalías, las cuales se analizaron en renglón independiente. A la diferencia establecida entre los </w:t>
      </w:r>
      <w:r w:rsidRPr="00F127E7">
        <w:rPr>
          <w:rFonts w:ascii="Times New Roman" w:hAnsi="Times New Roman"/>
          <w:sz w:val="24"/>
          <w:szCs w:val="24"/>
        </w:rPr>
        <w:lastRenderedPageBreak/>
        <w:t>saldos, se adiciono el valor de los ingresos</w:t>
      </w:r>
      <w:r w:rsidR="00955D58">
        <w:rPr>
          <w:rFonts w:ascii="Times New Roman" w:hAnsi="Times New Roman"/>
          <w:sz w:val="24"/>
          <w:szCs w:val="24"/>
        </w:rPr>
        <w:t xml:space="preserve"> fiscales no tributarios,</w:t>
      </w:r>
      <w:r w:rsidRPr="00F127E7">
        <w:rPr>
          <w:rFonts w:ascii="Times New Roman" w:hAnsi="Times New Roman"/>
          <w:sz w:val="24"/>
          <w:szCs w:val="24"/>
        </w:rPr>
        <w:t xml:space="preserve"> del cual se restó el valor correspondiente a las devoluciones y descuentos de ingresos fiscales y la perdida por baja de las cuentas por cobrar y el deterioro.</w:t>
      </w:r>
    </w:p>
    <w:p w14:paraId="4CA981F1" w14:textId="2B17B108"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rPr>
        <w:t>Transferencias. Corresponde a la principal fuente de financiación de la Entidad, y durante la presente vigencia tuvieron dos fuentes, de un lado los valores asignados en el presupuesto del Distrito Capital, para atender los gastos de funcionamiento e inversión, y por el otro, dineros asignados por la Nación correspondiente a Regalías. El flujo se determinó adicionando, a la diferencia entre saldo inicial y final de la cuenta deudora, los ingresos registrados por operaciones interinstitucionales y otras transferencias recibidas para proyectos de Inversión</w:t>
      </w:r>
      <w:r w:rsidR="00955D58">
        <w:rPr>
          <w:rFonts w:ascii="Times New Roman" w:hAnsi="Times New Roman"/>
          <w:sz w:val="24"/>
          <w:szCs w:val="24"/>
        </w:rPr>
        <w:t>.</w:t>
      </w:r>
      <w:r w:rsidRPr="00F127E7">
        <w:rPr>
          <w:rFonts w:ascii="Times New Roman" w:hAnsi="Times New Roman"/>
          <w:sz w:val="24"/>
          <w:szCs w:val="24"/>
        </w:rPr>
        <w:t xml:space="preserve"> De la suma así determinada se restó el valor establecido por concepto de devolución de ingresos en las operacione</w:t>
      </w:r>
      <w:r w:rsidR="00955D58">
        <w:rPr>
          <w:rFonts w:ascii="Times New Roman" w:hAnsi="Times New Roman"/>
          <w:sz w:val="24"/>
          <w:szCs w:val="24"/>
        </w:rPr>
        <w:t>s interinstitucionales</w:t>
      </w:r>
      <w:r w:rsidRPr="00F127E7">
        <w:rPr>
          <w:rFonts w:ascii="Times New Roman" w:hAnsi="Times New Roman"/>
          <w:sz w:val="24"/>
          <w:szCs w:val="24"/>
        </w:rPr>
        <w:t>.</w:t>
      </w:r>
    </w:p>
    <w:p w14:paraId="1DEAD105" w14:textId="308D1195"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rPr>
        <w:t>Depósitos Recibidos en Garantía. La suma determinada incluyo la diferencia entre el saldo inicial y final de la cuenta otros pasivos, al cual se adiciono y resto lo correspondiente a los ingresos y gastos determinados en la ejecución de convenios.</w:t>
      </w:r>
    </w:p>
    <w:p w14:paraId="546177D2" w14:textId="36E44EF8"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rPr>
        <w:t>Recaudo Favor terceros. Para determinar este valor, se incluyó el saldo inicial y final de las cuentas pasivas recaudos a favor terceros</w:t>
      </w:r>
      <w:r w:rsidR="00955D58">
        <w:rPr>
          <w:rFonts w:ascii="Times New Roman" w:hAnsi="Times New Roman"/>
          <w:sz w:val="24"/>
          <w:szCs w:val="24"/>
        </w:rPr>
        <w:t xml:space="preserve"> </w:t>
      </w:r>
      <w:r w:rsidRPr="00F127E7">
        <w:rPr>
          <w:rFonts w:ascii="Times New Roman" w:hAnsi="Times New Roman"/>
          <w:sz w:val="24"/>
          <w:szCs w:val="24"/>
        </w:rPr>
        <w:t>y del saldo de las retenciones en la fuente practicadas a terceros, en cumplimiento de las normas vigentes.</w:t>
      </w:r>
    </w:p>
    <w:p w14:paraId="3A3E864F" w14:textId="3E00B832"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rPr>
        <w:t>Otros Ingresos. Corresponde a la suma de ingresos generados por actividades no identificadas específicamente.</w:t>
      </w:r>
    </w:p>
    <w:p w14:paraId="0BB3686F" w14:textId="191B9A4F"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rPr>
        <w:t>Otros Recursos Recibidos. Corresponde a la variación entre los saldos inicial y final de otros activos.</w:t>
      </w:r>
    </w:p>
    <w:p w14:paraId="719135A6" w14:textId="77777777" w:rsidR="00F127E7" w:rsidRDefault="00F127E7" w:rsidP="00AB4D08">
      <w:pPr>
        <w:spacing w:line="240" w:lineRule="auto"/>
        <w:ind w:left="567"/>
        <w:contextualSpacing/>
        <w:jc w:val="both"/>
        <w:rPr>
          <w:rFonts w:ascii="Times New Roman" w:hAnsi="Times New Roman"/>
          <w:sz w:val="24"/>
          <w:szCs w:val="24"/>
          <w:lang w:val="es-MX"/>
        </w:rPr>
      </w:pPr>
    </w:p>
    <w:p w14:paraId="7CBA14BB"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Partidas que utilizaron efectivo</w:t>
      </w:r>
    </w:p>
    <w:p w14:paraId="49A13F23" w14:textId="72E7CA71"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Constitución Inversiones no Equivalentes de Efectivo. Esta partida incluye la variación de la cuenta de inversiones e Instrumentos Derivados adicionado con los ingresos financieros, y las afectaciones por recuperación del deterioro de las Inversiones en Acciones.</w:t>
      </w:r>
    </w:p>
    <w:p w14:paraId="49FFEFF1" w14:textId="198FCCF6"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Anticipos y Avances Entregados. Corresponde a la variación de saldos de las cuentas de anticipos entregados para adquisición de predios o ejecución de Contratos.</w:t>
      </w:r>
    </w:p>
    <w:p w14:paraId="7AA4BC4D" w14:textId="1D3778F8"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Inversión en Bienes de Uso Público. El efectivo utilizado en este rubro, se determinó restando del saldo inicial de la cuenta bienes de uso público el valor correspondiente a la depreciación registrada en el año, la transferencia de bienes entregados sin contraprestación y adicionando el valor de los bienes recibidos sin contraprestación de otras entidades. De la suma así resultante se restó el valor del saldo final cuenta bienes de uso público.</w:t>
      </w:r>
    </w:p>
    <w:p w14:paraId="1CD8C851" w14:textId="552BA511"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 xml:space="preserve">Pago acreedor por Intereses, Impuestos y otros. Este valor incluye los dineros cancelados para atender el pago de tasas y gravamen a los movimientos financieros. </w:t>
      </w:r>
    </w:p>
    <w:p w14:paraId="43898618" w14:textId="2F257DE2"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Pago Obligaciones Laborales y de Seguridad Social. La determinación de este valor incluye la suma de las cuentas de gasto vinculadas con los conceptos que remuneran los servicios personales, adicionada por los saldos iniciales y disminuidos por los saldos finales de las cuentas pasivas relacionadas con estos mismos conceptos, incluyendo seguridad social.</w:t>
      </w:r>
    </w:p>
    <w:p w14:paraId="0DEA292E" w14:textId="779B46C0"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lastRenderedPageBreak/>
        <w:t>Pago procesos Judiciales. Esta partida incluye la variación de los saldos de las cuentas pasivas que reflejan el valor de los procesos en contra del Instituto, incrementadas o disminuidas por las cuentas de gasto o ingreso que se utilizan para el registro de las provisiones y fallos judiciales.</w:t>
      </w:r>
    </w:p>
    <w:p w14:paraId="6B3A70BF" w14:textId="54B2A9CD" w:rsidR="00F127E7" w:rsidRPr="00F127E7" w:rsidRDefault="00F127E7" w:rsidP="00AB4D08">
      <w:pPr>
        <w:pStyle w:val="Prrafodelista"/>
        <w:numPr>
          <w:ilvl w:val="0"/>
          <w:numId w:val="6"/>
        </w:numPr>
        <w:spacing w:line="240" w:lineRule="auto"/>
        <w:jc w:val="both"/>
        <w:rPr>
          <w:rFonts w:ascii="Times New Roman" w:hAnsi="Times New Roman"/>
          <w:sz w:val="24"/>
          <w:szCs w:val="24"/>
          <w:lang w:val="es-MX"/>
        </w:rPr>
      </w:pPr>
      <w:r w:rsidRPr="00F127E7">
        <w:rPr>
          <w:rFonts w:ascii="Times New Roman" w:hAnsi="Times New Roman"/>
          <w:sz w:val="24"/>
          <w:szCs w:val="24"/>
          <w:lang w:val="es-MX"/>
        </w:rPr>
        <w:t>Otros Pagos en Actividades de Operación. La cifra está determinada por la suma de las cuentas que registran el gasto por funcionamiento de la entidad, adicionada por la variación establecida en los saldos iniciales y finales de las cuentas pasivas.</w:t>
      </w:r>
    </w:p>
    <w:p w14:paraId="58751F1E" w14:textId="77777777" w:rsidR="00F127E7" w:rsidRDefault="00F127E7" w:rsidP="00AB4D08">
      <w:pPr>
        <w:spacing w:line="240" w:lineRule="auto"/>
        <w:ind w:left="567"/>
        <w:contextualSpacing/>
        <w:jc w:val="both"/>
        <w:rPr>
          <w:rFonts w:ascii="Times New Roman" w:hAnsi="Times New Roman"/>
          <w:sz w:val="24"/>
          <w:szCs w:val="24"/>
          <w:lang w:val="es-MX"/>
        </w:rPr>
      </w:pPr>
    </w:p>
    <w:p w14:paraId="3C044194"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El flujo neto de efectivo generado en las actividades de operación genera un resultado positivo.</w:t>
      </w:r>
    </w:p>
    <w:p w14:paraId="6B332BE0"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Flujo de Inversión</w:t>
      </w:r>
    </w:p>
    <w:p w14:paraId="25272BA2" w14:textId="1C0DA566"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El flujo neto de efectivo determinado en las actividades de inversión resulta negativo, como consecuencia de la adquisición de Propiedad p</w:t>
      </w:r>
      <w:r w:rsidR="00955D58">
        <w:rPr>
          <w:rFonts w:ascii="Times New Roman" w:hAnsi="Times New Roman"/>
          <w:sz w:val="24"/>
          <w:szCs w:val="24"/>
          <w:lang w:val="es-MX"/>
        </w:rPr>
        <w:t>lanta y equipo y de intangibles</w:t>
      </w:r>
      <w:r w:rsidRPr="00F127E7">
        <w:rPr>
          <w:rFonts w:ascii="Times New Roman" w:hAnsi="Times New Roman"/>
          <w:sz w:val="24"/>
          <w:szCs w:val="24"/>
          <w:lang w:val="es-MX"/>
        </w:rPr>
        <w:t xml:space="preserve">. </w:t>
      </w:r>
    </w:p>
    <w:p w14:paraId="24BE882A"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Flujo de Financiación.</w:t>
      </w:r>
    </w:p>
    <w:p w14:paraId="3C7A8B00"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Durante la vigencia, no se presentaron operaciones que clasifiquen en esta denominación, por lo cual no se generó flujo de efectivo por este concepto.</w:t>
      </w:r>
    </w:p>
    <w:p w14:paraId="7F2C3590"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 xml:space="preserve">Incremento Neto del Efectivo. Es el resultado de la suma algebraica de los flujos de operación, Inversión y Financiación. Para la presente vigencia resulto positivo, y su valor incremento el efectivo y equivalentes de efectivo al principio del periodo. </w:t>
      </w:r>
    </w:p>
    <w:p w14:paraId="5E0FBF69"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En el anexo 1 al estado de flujos de efectivo se indica la desagregación de las cuentas que componen el efectivo y sus equivalentes de forma comparativa con el periodo anterior, y la diferencia entre los dos periodos es igual al incremento neto del efectivo.</w:t>
      </w:r>
    </w:p>
    <w:p w14:paraId="38ADAF36" w14:textId="77777777" w:rsidR="009C65DC" w:rsidRDefault="009C65DC" w:rsidP="00AB4D08">
      <w:pPr>
        <w:spacing w:line="240" w:lineRule="auto"/>
        <w:ind w:left="567"/>
        <w:contextualSpacing/>
        <w:jc w:val="both"/>
        <w:rPr>
          <w:rFonts w:ascii="Times New Roman" w:hAnsi="Times New Roman"/>
          <w:sz w:val="24"/>
          <w:szCs w:val="24"/>
          <w:lang w:val="es-MX"/>
        </w:rPr>
      </w:pPr>
    </w:p>
    <w:p w14:paraId="1D2F00C7" w14:textId="77777777" w:rsidR="00F127E7" w:rsidRPr="00F127E7" w:rsidRDefault="00F127E7" w:rsidP="00AB4D08">
      <w:pPr>
        <w:spacing w:line="240" w:lineRule="auto"/>
        <w:ind w:left="567"/>
        <w:contextualSpacing/>
        <w:jc w:val="both"/>
        <w:rPr>
          <w:rFonts w:ascii="Times New Roman" w:hAnsi="Times New Roman"/>
          <w:sz w:val="24"/>
          <w:szCs w:val="24"/>
          <w:lang w:val="es-MX"/>
        </w:rPr>
      </w:pPr>
      <w:r w:rsidRPr="00F127E7">
        <w:rPr>
          <w:rFonts w:ascii="Times New Roman" w:hAnsi="Times New Roman"/>
          <w:sz w:val="24"/>
          <w:szCs w:val="24"/>
          <w:lang w:val="es-MX"/>
        </w:rPr>
        <w:t>La presentación del Estado de Flujos de efectivo por el Método Directo, requiere la elaboración del anexo 2, en el cual se concilia la Utilidad del Ejercicio con el flujo Operacional determinado en el Estado Financiero, requiriendo que al resultado del ejercicio se adicionen o resten los valores de las partidas que no afectaron el efectivo, y se sumen las variaciones por aumento o disminución de las partidas de Balance.</w:t>
      </w:r>
    </w:p>
    <w:p w14:paraId="15309A50" w14:textId="77777777" w:rsidR="00FD4B54" w:rsidRDefault="00FD4B54" w:rsidP="00AB4D08">
      <w:pPr>
        <w:spacing w:after="0" w:line="240" w:lineRule="auto"/>
        <w:ind w:left="567"/>
        <w:contextualSpacing/>
        <w:jc w:val="both"/>
        <w:rPr>
          <w:rFonts w:ascii="Times New Roman" w:hAnsi="Times New Roman"/>
          <w:sz w:val="24"/>
          <w:szCs w:val="24"/>
        </w:rPr>
      </w:pPr>
    </w:p>
    <w:p w14:paraId="45064EE0" w14:textId="77777777" w:rsidR="00C92172" w:rsidRDefault="00C92172" w:rsidP="00AB4D08">
      <w:pPr>
        <w:spacing w:after="0" w:line="240" w:lineRule="auto"/>
        <w:ind w:left="567"/>
        <w:contextualSpacing/>
        <w:jc w:val="both"/>
        <w:rPr>
          <w:rFonts w:ascii="Times New Roman" w:hAnsi="Times New Roman"/>
          <w:sz w:val="24"/>
          <w:szCs w:val="24"/>
        </w:rPr>
      </w:pPr>
    </w:p>
    <w:p w14:paraId="1E0CC09E" w14:textId="77777777" w:rsidR="00C92172" w:rsidRDefault="00C92172" w:rsidP="00AB4D08">
      <w:pPr>
        <w:spacing w:after="0" w:line="240" w:lineRule="auto"/>
        <w:ind w:left="567"/>
        <w:contextualSpacing/>
        <w:jc w:val="both"/>
        <w:rPr>
          <w:rFonts w:ascii="Times New Roman" w:hAnsi="Times New Roman"/>
          <w:sz w:val="24"/>
          <w:szCs w:val="24"/>
        </w:rPr>
      </w:pPr>
    </w:p>
    <w:p w14:paraId="6A462DAF" w14:textId="77777777" w:rsidR="00C92172" w:rsidRDefault="00C92172" w:rsidP="00AB4D08">
      <w:pPr>
        <w:spacing w:after="0" w:line="240" w:lineRule="auto"/>
        <w:ind w:left="567"/>
        <w:contextualSpacing/>
        <w:jc w:val="both"/>
        <w:rPr>
          <w:rFonts w:ascii="Times New Roman" w:hAnsi="Times New Roman"/>
          <w:sz w:val="24"/>
          <w:szCs w:val="24"/>
        </w:rPr>
      </w:pPr>
    </w:p>
    <w:p w14:paraId="21538CEF" w14:textId="77777777" w:rsidR="00C92172" w:rsidRDefault="00C92172" w:rsidP="00AB4D08">
      <w:pPr>
        <w:spacing w:after="0" w:line="240" w:lineRule="auto"/>
        <w:ind w:left="567"/>
        <w:contextualSpacing/>
        <w:jc w:val="both"/>
        <w:rPr>
          <w:rFonts w:ascii="Times New Roman" w:hAnsi="Times New Roman"/>
          <w:sz w:val="24"/>
          <w:szCs w:val="24"/>
        </w:rPr>
      </w:pPr>
    </w:p>
    <w:p w14:paraId="1D52780E" w14:textId="77777777" w:rsidR="00C92172" w:rsidRDefault="00C92172" w:rsidP="00AB4D08">
      <w:pPr>
        <w:spacing w:after="0" w:line="240" w:lineRule="auto"/>
        <w:ind w:left="567"/>
        <w:contextualSpacing/>
        <w:jc w:val="both"/>
        <w:rPr>
          <w:rFonts w:ascii="Times New Roman" w:hAnsi="Times New Roman"/>
          <w:sz w:val="24"/>
          <w:szCs w:val="24"/>
        </w:rPr>
      </w:pPr>
    </w:p>
    <w:p w14:paraId="7FD472A5" w14:textId="77777777" w:rsidR="00C92172" w:rsidRDefault="00C92172" w:rsidP="00AB4D08">
      <w:pPr>
        <w:spacing w:after="0" w:line="240" w:lineRule="auto"/>
        <w:ind w:left="567"/>
        <w:contextualSpacing/>
        <w:jc w:val="both"/>
        <w:rPr>
          <w:rFonts w:ascii="Times New Roman" w:hAnsi="Times New Roman"/>
          <w:sz w:val="24"/>
          <w:szCs w:val="24"/>
        </w:rPr>
      </w:pPr>
    </w:p>
    <w:p w14:paraId="143F21AD" w14:textId="77777777" w:rsidR="00C92172" w:rsidRDefault="00C92172" w:rsidP="00AB4D08">
      <w:pPr>
        <w:spacing w:after="0" w:line="240" w:lineRule="auto"/>
        <w:ind w:left="567"/>
        <w:contextualSpacing/>
        <w:jc w:val="both"/>
        <w:rPr>
          <w:rFonts w:ascii="Times New Roman" w:hAnsi="Times New Roman"/>
          <w:sz w:val="24"/>
          <w:szCs w:val="24"/>
        </w:rPr>
      </w:pPr>
    </w:p>
    <w:p w14:paraId="54FB9588" w14:textId="77777777" w:rsidR="00C92172" w:rsidRDefault="00C92172" w:rsidP="00AB4D08">
      <w:pPr>
        <w:spacing w:after="0" w:line="240" w:lineRule="auto"/>
        <w:ind w:left="567"/>
        <w:contextualSpacing/>
        <w:jc w:val="both"/>
        <w:rPr>
          <w:rFonts w:ascii="Times New Roman" w:hAnsi="Times New Roman"/>
          <w:sz w:val="24"/>
          <w:szCs w:val="24"/>
        </w:rPr>
      </w:pPr>
    </w:p>
    <w:p w14:paraId="52A45846" w14:textId="77777777" w:rsidR="00C92172" w:rsidRDefault="00C92172" w:rsidP="00AB4D08">
      <w:pPr>
        <w:spacing w:after="0" w:line="240" w:lineRule="auto"/>
        <w:ind w:left="567"/>
        <w:contextualSpacing/>
        <w:jc w:val="both"/>
        <w:rPr>
          <w:rFonts w:ascii="Times New Roman" w:hAnsi="Times New Roman"/>
          <w:sz w:val="24"/>
          <w:szCs w:val="24"/>
        </w:rPr>
      </w:pPr>
    </w:p>
    <w:p w14:paraId="05DB556B" w14:textId="77777777" w:rsidR="00C92172" w:rsidRDefault="00C92172" w:rsidP="00AB4D08">
      <w:pPr>
        <w:spacing w:after="0" w:line="240" w:lineRule="auto"/>
        <w:ind w:left="567"/>
        <w:contextualSpacing/>
        <w:jc w:val="both"/>
        <w:rPr>
          <w:rFonts w:ascii="Times New Roman" w:hAnsi="Times New Roman"/>
          <w:sz w:val="24"/>
          <w:szCs w:val="24"/>
        </w:rPr>
      </w:pPr>
    </w:p>
    <w:p w14:paraId="4A689122" w14:textId="77777777" w:rsidR="00C92172" w:rsidRDefault="00C92172" w:rsidP="00AB4D08">
      <w:pPr>
        <w:spacing w:after="0" w:line="240" w:lineRule="auto"/>
        <w:ind w:left="567"/>
        <w:contextualSpacing/>
        <w:jc w:val="both"/>
        <w:rPr>
          <w:rFonts w:ascii="Times New Roman" w:hAnsi="Times New Roman"/>
          <w:sz w:val="24"/>
          <w:szCs w:val="24"/>
        </w:rPr>
      </w:pPr>
    </w:p>
    <w:p w14:paraId="2894A616" w14:textId="77777777" w:rsidR="00C92172" w:rsidRDefault="00C92172" w:rsidP="00AB4D08">
      <w:pPr>
        <w:spacing w:after="0" w:line="240" w:lineRule="auto"/>
        <w:ind w:left="567"/>
        <w:contextualSpacing/>
        <w:jc w:val="both"/>
        <w:rPr>
          <w:rFonts w:ascii="Times New Roman" w:hAnsi="Times New Roman"/>
          <w:sz w:val="24"/>
          <w:szCs w:val="24"/>
        </w:rPr>
      </w:pPr>
    </w:p>
    <w:p w14:paraId="69B46093" w14:textId="77777777" w:rsidR="00C92172" w:rsidRDefault="00C92172" w:rsidP="00AB4D08">
      <w:pPr>
        <w:spacing w:after="0" w:line="240" w:lineRule="auto"/>
        <w:ind w:left="567"/>
        <w:contextualSpacing/>
        <w:jc w:val="both"/>
        <w:rPr>
          <w:rFonts w:ascii="Times New Roman" w:hAnsi="Times New Roman"/>
          <w:sz w:val="24"/>
          <w:szCs w:val="24"/>
        </w:rPr>
      </w:pPr>
    </w:p>
    <w:p w14:paraId="47E9C54A" w14:textId="77777777" w:rsidR="00C92172" w:rsidRDefault="00C92172" w:rsidP="00AB4D08">
      <w:pPr>
        <w:spacing w:after="0" w:line="240" w:lineRule="auto"/>
        <w:ind w:left="567"/>
        <w:contextualSpacing/>
        <w:jc w:val="both"/>
        <w:rPr>
          <w:rFonts w:ascii="Times New Roman" w:hAnsi="Times New Roman"/>
          <w:sz w:val="24"/>
          <w:szCs w:val="24"/>
        </w:rPr>
      </w:pPr>
    </w:p>
    <w:p w14:paraId="6E427236" w14:textId="77777777" w:rsidR="00C92172" w:rsidRDefault="00C92172" w:rsidP="00AB4D08">
      <w:pPr>
        <w:spacing w:after="0" w:line="240" w:lineRule="auto"/>
        <w:ind w:left="567"/>
        <w:contextualSpacing/>
        <w:jc w:val="both"/>
        <w:rPr>
          <w:rFonts w:ascii="Times New Roman" w:hAnsi="Times New Roman"/>
          <w:sz w:val="24"/>
          <w:szCs w:val="24"/>
        </w:rPr>
      </w:pPr>
    </w:p>
    <w:p w14:paraId="062462A7" w14:textId="77777777" w:rsidR="00C92172" w:rsidRDefault="00C92172" w:rsidP="00AB4D08">
      <w:pPr>
        <w:spacing w:after="0" w:line="240" w:lineRule="auto"/>
        <w:ind w:left="567"/>
        <w:contextualSpacing/>
        <w:jc w:val="both"/>
        <w:rPr>
          <w:rFonts w:ascii="Times New Roman" w:hAnsi="Times New Roman"/>
          <w:sz w:val="24"/>
          <w:szCs w:val="24"/>
        </w:rPr>
      </w:pPr>
    </w:p>
    <w:p w14:paraId="2EA00434" w14:textId="77777777" w:rsidR="00374472" w:rsidRPr="00374472" w:rsidRDefault="00374472" w:rsidP="00AB4D08">
      <w:pPr>
        <w:spacing w:line="240" w:lineRule="auto"/>
        <w:ind w:left="567"/>
        <w:contextualSpacing/>
        <w:rPr>
          <w:rFonts w:ascii="Times New Roman" w:hAnsi="Times New Roman"/>
          <w:b/>
          <w:sz w:val="24"/>
          <w:szCs w:val="24"/>
          <w:lang w:val="es-MX"/>
        </w:rPr>
      </w:pPr>
      <w:r w:rsidRPr="00374472">
        <w:rPr>
          <w:rFonts w:ascii="Times New Roman" w:hAnsi="Times New Roman"/>
          <w:b/>
          <w:sz w:val="24"/>
          <w:szCs w:val="24"/>
          <w:lang w:val="es-MX"/>
        </w:rPr>
        <w:lastRenderedPageBreak/>
        <w:t>INDICADORES FINANCIEROS</w:t>
      </w:r>
    </w:p>
    <w:p w14:paraId="4BCE0C24" w14:textId="77777777" w:rsidR="00374472" w:rsidRPr="00374472" w:rsidRDefault="00374472" w:rsidP="00AB4D08">
      <w:pPr>
        <w:spacing w:line="240" w:lineRule="auto"/>
        <w:ind w:left="567"/>
        <w:contextualSpacing/>
        <w:jc w:val="both"/>
        <w:rPr>
          <w:rFonts w:ascii="Times New Roman" w:hAnsi="Times New Roman"/>
          <w:sz w:val="24"/>
          <w:szCs w:val="24"/>
          <w:lang w:val="es-MX"/>
        </w:rPr>
      </w:pPr>
    </w:p>
    <w:p w14:paraId="3AB4A555" w14:textId="6DE94F68" w:rsidR="00374472" w:rsidRDefault="00374472" w:rsidP="00AB4D08">
      <w:pPr>
        <w:spacing w:line="240" w:lineRule="auto"/>
        <w:ind w:left="567"/>
        <w:contextualSpacing/>
        <w:jc w:val="both"/>
        <w:rPr>
          <w:rFonts w:ascii="Times New Roman" w:hAnsi="Times New Roman"/>
          <w:color w:val="222222"/>
          <w:sz w:val="24"/>
          <w:szCs w:val="24"/>
          <w:shd w:val="clear" w:color="auto" w:fill="FFFFFF"/>
        </w:rPr>
      </w:pPr>
      <w:r w:rsidRPr="00374472">
        <w:rPr>
          <w:rFonts w:ascii="Times New Roman" w:hAnsi="Times New Roman"/>
          <w:color w:val="222222"/>
          <w:sz w:val="24"/>
          <w:szCs w:val="24"/>
          <w:shd w:val="clear" w:color="auto" w:fill="FFFFFF"/>
        </w:rPr>
        <w:t>Los </w:t>
      </w:r>
      <w:r w:rsidRPr="00374472">
        <w:rPr>
          <w:rFonts w:ascii="Times New Roman" w:hAnsi="Times New Roman"/>
          <w:bCs/>
          <w:color w:val="222222"/>
          <w:sz w:val="24"/>
          <w:szCs w:val="24"/>
          <w:shd w:val="clear" w:color="auto" w:fill="FFFFFF"/>
        </w:rPr>
        <w:t>indicadores financieros</w:t>
      </w:r>
      <w:r w:rsidRPr="00374472">
        <w:rPr>
          <w:rFonts w:ascii="Times New Roman" w:hAnsi="Times New Roman"/>
          <w:color w:val="222222"/>
          <w:sz w:val="24"/>
          <w:szCs w:val="24"/>
          <w:shd w:val="clear" w:color="auto" w:fill="FFFFFF"/>
        </w:rPr>
        <w:t> son herramientas que se diseñan utilizando la información </w:t>
      </w:r>
      <w:r w:rsidRPr="00374472">
        <w:rPr>
          <w:rFonts w:ascii="Times New Roman" w:hAnsi="Times New Roman"/>
          <w:bCs/>
          <w:color w:val="222222"/>
          <w:sz w:val="24"/>
          <w:szCs w:val="24"/>
          <w:shd w:val="clear" w:color="auto" w:fill="FFFFFF"/>
        </w:rPr>
        <w:t>financiera</w:t>
      </w:r>
      <w:r w:rsidR="00C203C4">
        <w:rPr>
          <w:rFonts w:ascii="Times New Roman" w:hAnsi="Times New Roman"/>
          <w:color w:val="222222"/>
          <w:sz w:val="24"/>
          <w:szCs w:val="24"/>
          <w:shd w:val="clear" w:color="auto" w:fill="FFFFFF"/>
        </w:rPr>
        <w:t xml:space="preserve">, </w:t>
      </w:r>
      <w:r w:rsidRPr="00374472">
        <w:rPr>
          <w:rFonts w:ascii="Times New Roman" w:hAnsi="Times New Roman"/>
          <w:color w:val="222222"/>
          <w:sz w:val="24"/>
          <w:szCs w:val="24"/>
          <w:shd w:val="clear" w:color="auto" w:fill="FFFFFF"/>
        </w:rPr>
        <w:t>son necesarias para medir la estabilidad, la capacidad de endeudamiento, la capacidad de generar liquidez, los rendimientos y las utilidades de la entidad, a través de la interpretación de las cifras incorporadas en los Estados Financieros.</w:t>
      </w:r>
    </w:p>
    <w:p w14:paraId="3B41AD04" w14:textId="77777777" w:rsidR="003856F0" w:rsidRDefault="003856F0" w:rsidP="00AB4D08">
      <w:pPr>
        <w:spacing w:line="240" w:lineRule="auto"/>
        <w:ind w:left="567"/>
        <w:contextualSpacing/>
        <w:jc w:val="both"/>
        <w:rPr>
          <w:rFonts w:ascii="Times New Roman" w:hAnsi="Times New Roman"/>
          <w:color w:val="222222"/>
          <w:sz w:val="24"/>
          <w:szCs w:val="24"/>
          <w:shd w:val="clear" w:color="auto" w:fill="FFFFFF"/>
        </w:rPr>
      </w:pPr>
    </w:p>
    <w:tbl>
      <w:tblPr>
        <w:tblW w:w="5700" w:type="dxa"/>
        <w:jc w:val="center"/>
        <w:tblCellMar>
          <w:left w:w="70" w:type="dxa"/>
          <w:right w:w="70" w:type="dxa"/>
        </w:tblCellMar>
        <w:tblLook w:val="04A0" w:firstRow="1" w:lastRow="0" w:firstColumn="1" w:lastColumn="0" w:noHBand="0" w:noVBand="1"/>
      </w:tblPr>
      <w:tblGrid>
        <w:gridCol w:w="3660"/>
        <w:gridCol w:w="2040"/>
      </w:tblGrid>
      <w:tr w:rsidR="003856F0" w:rsidRPr="003856F0" w14:paraId="6CB41921" w14:textId="77777777" w:rsidTr="001C39DA">
        <w:trPr>
          <w:trHeight w:val="255"/>
          <w:jc w:val="center"/>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F1FC69"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CONCEPTO</w:t>
            </w:r>
          </w:p>
        </w:tc>
        <w:tc>
          <w:tcPr>
            <w:tcW w:w="2040" w:type="dxa"/>
            <w:tcBorders>
              <w:top w:val="single" w:sz="4" w:space="0" w:color="auto"/>
              <w:left w:val="nil"/>
              <w:bottom w:val="single" w:sz="4" w:space="0" w:color="auto"/>
              <w:right w:val="single" w:sz="4" w:space="0" w:color="auto"/>
            </w:tcBorders>
            <w:shd w:val="clear" w:color="000000" w:fill="D9D9D9"/>
            <w:noWrap/>
            <w:vAlign w:val="bottom"/>
            <w:hideMark/>
          </w:tcPr>
          <w:p w14:paraId="1A6D431B" w14:textId="77777777" w:rsidR="003856F0" w:rsidRPr="003856F0" w:rsidRDefault="003856F0" w:rsidP="003856F0">
            <w:pPr>
              <w:spacing w:after="0" w:line="240" w:lineRule="auto"/>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VALOR</w:t>
            </w:r>
          </w:p>
        </w:tc>
      </w:tr>
      <w:tr w:rsidR="003856F0" w:rsidRPr="003856F0" w14:paraId="6E999ABB"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434FB47"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ACTIVO CORRIENTE</w:t>
            </w:r>
          </w:p>
        </w:tc>
        <w:tc>
          <w:tcPr>
            <w:tcW w:w="2040" w:type="dxa"/>
            <w:tcBorders>
              <w:top w:val="nil"/>
              <w:left w:val="nil"/>
              <w:bottom w:val="single" w:sz="4" w:space="0" w:color="auto"/>
              <w:right w:val="single" w:sz="4" w:space="0" w:color="auto"/>
            </w:tcBorders>
            <w:shd w:val="clear" w:color="auto" w:fill="auto"/>
            <w:noWrap/>
            <w:vAlign w:val="bottom"/>
            <w:hideMark/>
          </w:tcPr>
          <w:p w14:paraId="0F98A90A"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1.750.885.626.125</w:t>
            </w:r>
          </w:p>
        </w:tc>
      </w:tr>
      <w:tr w:rsidR="003856F0" w:rsidRPr="003856F0" w14:paraId="2088EB1E"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5D1D752"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ACTIVO NO CORRIENTE</w:t>
            </w:r>
          </w:p>
        </w:tc>
        <w:tc>
          <w:tcPr>
            <w:tcW w:w="2040" w:type="dxa"/>
            <w:tcBorders>
              <w:top w:val="nil"/>
              <w:left w:val="nil"/>
              <w:bottom w:val="single" w:sz="4" w:space="0" w:color="auto"/>
              <w:right w:val="single" w:sz="4" w:space="0" w:color="auto"/>
            </w:tcBorders>
            <w:shd w:val="clear" w:color="auto" w:fill="auto"/>
            <w:noWrap/>
            <w:vAlign w:val="bottom"/>
            <w:hideMark/>
          </w:tcPr>
          <w:p w14:paraId="2E3E211C"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11.314.825.751.894</w:t>
            </w:r>
          </w:p>
        </w:tc>
      </w:tr>
      <w:tr w:rsidR="003856F0" w:rsidRPr="003856F0" w14:paraId="756CBFC1"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3FB09D5D" w14:textId="77777777" w:rsidR="003856F0" w:rsidRPr="003856F0" w:rsidRDefault="003856F0" w:rsidP="003856F0">
            <w:pPr>
              <w:spacing w:after="0" w:line="240" w:lineRule="auto"/>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TOTAL ACTIVO</w:t>
            </w:r>
          </w:p>
        </w:tc>
        <w:tc>
          <w:tcPr>
            <w:tcW w:w="2040" w:type="dxa"/>
            <w:tcBorders>
              <w:top w:val="nil"/>
              <w:left w:val="nil"/>
              <w:bottom w:val="single" w:sz="4" w:space="0" w:color="auto"/>
              <w:right w:val="single" w:sz="4" w:space="0" w:color="auto"/>
            </w:tcBorders>
            <w:shd w:val="clear" w:color="000000" w:fill="D9D9D9"/>
            <w:noWrap/>
            <w:vAlign w:val="bottom"/>
            <w:hideMark/>
          </w:tcPr>
          <w:p w14:paraId="7591CCDA" w14:textId="77777777" w:rsidR="003856F0" w:rsidRPr="003856F0" w:rsidRDefault="003856F0" w:rsidP="003856F0">
            <w:pPr>
              <w:spacing w:after="0" w:line="240" w:lineRule="auto"/>
              <w:jc w:val="right"/>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13.065.711.378.019</w:t>
            </w:r>
          </w:p>
        </w:tc>
      </w:tr>
      <w:tr w:rsidR="003856F0" w:rsidRPr="003856F0" w14:paraId="5C0825AC"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80532FE"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PASIVO CORRIENTE</w:t>
            </w:r>
          </w:p>
        </w:tc>
        <w:tc>
          <w:tcPr>
            <w:tcW w:w="2040" w:type="dxa"/>
            <w:tcBorders>
              <w:top w:val="nil"/>
              <w:left w:val="nil"/>
              <w:bottom w:val="single" w:sz="4" w:space="0" w:color="auto"/>
              <w:right w:val="single" w:sz="4" w:space="0" w:color="auto"/>
            </w:tcBorders>
            <w:shd w:val="clear" w:color="auto" w:fill="auto"/>
            <w:noWrap/>
            <w:vAlign w:val="bottom"/>
            <w:hideMark/>
          </w:tcPr>
          <w:p w14:paraId="2A82190F"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112.195.249.888</w:t>
            </w:r>
          </w:p>
        </w:tc>
      </w:tr>
      <w:tr w:rsidR="003856F0" w:rsidRPr="003856F0" w14:paraId="2A35EBBB"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F9A0D6D"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PASIVO NO CORRIENTE</w:t>
            </w:r>
          </w:p>
        </w:tc>
        <w:tc>
          <w:tcPr>
            <w:tcW w:w="2040" w:type="dxa"/>
            <w:tcBorders>
              <w:top w:val="nil"/>
              <w:left w:val="nil"/>
              <w:bottom w:val="single" w:sz="4" w:space="0" w:color="auto"/>
              <w:right w:val="single" w:sz="4" w:space="0" w:color="auto"/>
            </w:tcBorders>
            <w:shd w:val="clear" w:color="auto" w:fill="auto"/>
            <w:noWrap/>
            <w:vAlign w:val="bottom"/>
            <w:hideMark/>
          </w:tcPr>
          <w:p w14:paraId="1401F58D"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122.452.240.733</w:t>
            </w:r>
          </w:p>
        </w:tc>
      </w:tr>
      <w:tr w:rsidR="003856F0" w:rsidRPr="003856F0" w14:paraId="085B5BCA"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71A11FAD" w14:textId="77777777" w:rsidR="003856F0" w:rsidRPr="003856F0" w:rsidRDefault="003856F0" w:rsidP="003856F0">
            <w:pPr>
              <w:spacing w:after="0" w:line="240" w:lineRule="auto"/>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TOTAL PASIVO</w:t>
            </w:r>
          </w:p>
        </w:tc>
        <w:tc>
          <w:tcPr>
            <w:tcW w:w="2040" w:type="dxa"/>
            <w:tcBorders>
              <w:top w:val="nil"/>
              <w:left w:val="nil"/>
              <w:bottom w:val="single" w:sz="4" w:space="0" w:color="auto"/>
              <w:right w:val="single" w:sz="4" w:space="0" w:color="auto"/>
            </w:tcBorders>
            <w:shd w:val="clear" w:color="000000" w:fill="D9D9D9"/>
            <w:noWrap/>
            <w:vAlign w:val="bottom"/>
            <w:hideMark/>
          </w:tcPr>
          <w:p w14:paraId="4D491945" w14:textId="77777777" w:rsidR="003856F0" w:rsidRPr="003856F0" w:rsidRDefault="003856F0" w:rsidP="003856F0">
            <w:pPr>
              <w:spacing w:after="0" w:line="240" w:lineRule="auto"/>
              <w:jc w:val="right"/>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234.647.490.621</w:t>
            </w:r>
          </w:p>
        </w:tc>
      </w:tr>
      <w:tr w:rsidR="003856F0" w:rsidRPr="003856F0" w14:paraId="0FD65458" w14:textId="77777777" w:rsidTr="001C39DA">
        <w:trPr>
          <w:trHeight w:val="255"/>
          <w:jc w:val="center"/>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33DD0131" w14:textId="77777777" w:rsidR="003856F0" w:rsidRPr="003856F0" w:rsidRDefault="003856F0" w:rsidP="003856F0">
            <w:pPr>
              <w:spacing w:after="0" w:line="240" w:lineRule="auto"/>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TOTAL PATRIMONIO</w:t>
            </w:r>
          </w:p>
        </w:tc>
        <w:tc>
          <w:tcPr>
            <w:tcW w:w="2040" w:type="dxa"/>
            <w:tcBorders>
              <w:top w:val="nil"/>
              <w:left w:val="nil"/>
              <w:bottom w:val="single" w:sz="4" w:space="0" w:color="auto"/>
              <w:right w:val="single" w:sz="4" w:space="0" w:color="auto"/>
            </w:tcBorders>
            <w:shd w:val="clear" w:color="000000" w:fill="D9D9D9"/>
            <w:noWrap/>
            <w:vAlign w:val="bottom"/>
            <w:hideMark/>
          </w:tcPr>
          <w:p w14:paraId="4083801B" w14:textId="77777777" w:rsidR="003856F0" w:rsidRPr="003856F0" w:rsidRDefault="003856F0" w:rsidP="003856F0">
            <w:pPr>
              <w:spacing w:after="0" w:line="240" w:lineRule="auto"/>
              <w:jc w:val="right"/>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12.831.063.887.398</w:t>
            </w:r>
          </w:p>
        </w:tc>
      </w:tr>
    </w:tbl>
    <w:p w14:paraId="2C6E60DA" w14:textId="77777777" w:rsidR="003856F0" w:rsidRDefault="003856F0" w:rsidP="003856F0">
      <w:pPr>
        <w:spacing w:line="240" w:lineRule="auto"/>
        <w:contextualSpacing/>
        <w:jc w:val="both"/>
        <w:rPr>
          <w:rFonts w:ascii="Times New Roman" w:hAnsi="Times New Roman"/>
          <w:color w:val="222222"/>
          <w:sz w:val="24"/>
          <w:szCs w:val="24"/>
          <w:shd w:val="clear" w:color="auto" w:fill="FFFFFF"/>
        </w:rPr>
      </w:pPr>
    </w:p>
    <w:tbl>
      <w:tblPr>
        <w:tblpPr w:leftFromText="141" w:rightFromText="141" w:vertAnchor="text" w:horzAnchor="margin" w:tblpXSpec="center" w:tblpY="32"/>
        <w:tblW w:w="7160" w:type="dxa"/>
        <w:tblCellMar>
          <w:left w:w="70" w:type="dxa"/>
          <w:right w:w="70" w:type="dxa"/>
        </w:tblCellMar>
        <w:tblLook w:val="04A0" w:firstRow="1" w:lastRow="0" w:firstColumn="1" w:lastColumn="0" w:noHBand="0" w:noVBand="1"/>
      </w:tblPr>
      <w:tblGrid>
        <w:gridCol w:w="2140"/>
        <w:gridCol w:w="3100"/>
        <w:gridCol w:w="1920"/>
      </w:tblGrid>
      <w:tr w:rsidR="003856F0" w:rsidRPr="003856F0" w14:paraId="78B528BF" w14:textId="77777777" w:rsidTr="003856F0">
        <w:trPr>
          <w:trHeight w:val="255"/>
        </w:trPr>
        <w:tc>
          <w:tcPr>
            <w:tcW w:w="21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3A0403"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INDICES DE LIQUIDEZ</w:t>
            </w:r>
          </w:p>
        </w:tc>
        <w:tc>
          <w:tcPr>
            <w:tcW w:w="3100" w:type="dxa"/>
            <w:tcBorders>
              <w:top w:val="single" w:sz="4" w:space="0" w:color="auto"/>
              <w:left w:val="nil"/>
              <w:bottom w:val="single" w:sz="4" w:space="0" w:color="auto"/>
              <w:right w:val="single" w:sz="4" w:space="0" w:color="auto"/>
            </w:tcBorders>
            <w:shd w:val="clear" w:color="000000" w:fill="D9D9D9"/>
            <w:noWrap/>
            <w:vAlign w:val="center"/>
            <w:hideMark/>
          </w:tcPr>
          <w:p w14:paraId="67B8CF50"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FORMULA</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14:paraId="37F6234E"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VALOR</w:t>
            </w:r>
          </w:p>
        </w:tc>
      </w:tr>
      <w:tr w:rsidR="003856F0" w:rsidRPr="003856F0" w14:paraId="1CD55D26" w14:textId="77777777" w:rsidTr="003856F0">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8E9172E" w14:textId="3417E7CA"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Razón Corriente</w:t>
            </w:r>
          </w:p>
        </w:tc>
        <w:tc>
          <w:tcPr>
            <w:tcW w:w="3100" w:type="dxa"/>
            <w:tcBorders>
              <w:top w:val="nil"/>
              <w:left w:val="nil"/>
              <w:bottom w:val="single" w:sz="4" w:space="0" w:color="auto"/>
              <w:right w:val="single" w:sz="4" w:space="0" w:color="auto"/>
            </w:tcBorders>
            <w:shd w:val="clear" w:color="auto" w:fill="auto"/>
            <w:noWrap/>
            <w:vAlign w:val="bottom"/>
            <w:hideMark/>
          </w:tcPr>
          <w:p w14:paraId="012B19DB"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Activo Corriente/Pasivo Corriente</w:t>
            </w:r>
          </w:p>
        </w:tc>
        <w:tc>
          <w:tcPr>
            <w:tcW w:w="1920" w:type="dxa"/>
            <w:tcBorders>
              <w:top w:val="nil"/>
              <w:left w:val="nil"/>
              <w:bottom w:val="single" w:sz="4" w:space="0" w:color="auto"/>
              <w:right w:val="single" w:sz="4" w:space="0" w:color="auto"/>
            </w:tcBorders>
            <w:shd w:val="clear" w:color="auto" w:fill="auto"/>
            <w:noWrap/>
            <w:vAlign w:val="bottom"/>
            <w:hideMark/>
          </w:tcPr>
          <w:p w14:paraId="6D8B8760"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15,61</w:t>
            </w:r>
          </w:p>
        </w:tc>
      </w:tr>
      <w:tr w:rsidR="003856F0" w:rsidRPr="003856F0" w14:paraId="5B93A70F" w14:textId="77777777" w:rsidTr="003856F0">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0632FC7"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Capital de Trabajo</w:t>
            </w:r>
          </w:p>
        </w:tc>
        <w:tc>
          <w:tcPr>
            <w:tcW w:w="3100" w:type="dxa"/>
            <w:tcBorders>
              <w:top w:val="nil"/>
              <w:left w:val="nil"/>
              <w:bottom w:val="single" w:sz="4" w:space="0" w:color="auto"/>
              <w:right w:val="single" w:sz="4" w:space="0" w:color="auto"/>
            </w:tcBorders>
            <w:shd w:val="clear" w:color="auto" w:fill="auto"/>
            <w:noWrap/>
            <w:vAlign w:val="bottom"/>
            <w:hideMark/>
          </w:tcPr>
          <w:p w14:paraId="382CCF3E"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Activo Corriente-pasivo corriente</w:t>
            </w:r>
          </w:p>
        </w:tc>
        <w:tc>
          <w:tcPr>
            <w:tcW w:w="1920" w:type="dxa"/>
            <w:tcBorders>
              <w:top w:val="nil"/>
              <w:left w:val="nil"/>
              <w:bottom w:val="single" w:sz="4" w:space="0" w:color="auto"/>
              <w:right w:val="single" w:sz="4" w:space="0" w:color="auto"/>
            </w:tcBorders>
            <w:shd w:val="clear" w:color="auto" w:fill="auto"/>
            <w:noWrap/>
            <w:vAlign w:val="bottom"/>
            <w:hideMark/>
          </w:tcPr>
          <w:p w14:paraId="2A175138"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1.638.690.376.237</w:t>
            </w:r>
          </w:p>
        </w:tc>
      </w:tr>
    </w:tbl>
    <w:p w14:paraId="21865D78" w14:textId="77777777" w:rsidR="003856F0" w:rsidRDefault="003856F0" w:rsidP="003856F0">
      <w:pPr>
        <w:spacing w:line="240" w:lineRule="auto"/>
        <w:contextualSpacing/>
        <w:jc w:val="both"/>
        <w:rPr>
          <w:rFonts w:ascii="Times New Roman" w:hAnsi="Times New Roman"/>
          <w:color w:val="222222"/>
          <w:sz w:val="24"/>
          <w:szCs w:val="24"/>
          <w:shd w:val="clear" w:color="auto" w:fill="FFFFFF"/>
        </w:rPr>
      </w:pPr>
    </w:p>
    <w:p w14:paraId="3ABC8901" w14:textId="77777777" w:rsidR="003856F0" w:rsidRDefault="003856F0" w:rsidP="003856F0">
      <w:pPr>
        <w:spacing w:line="240" w:lineRule="auto"/>
        <w:contextualSpacing/>
        <w:jc w:val="both"/>
        <w:rPr>
          <w:rFonts w:ascii="Times New Roman" w:hAnsi="Times New Roman"/>
          <w:color w:val="222222"/>
          <w:sz w:val="24"/>
          <w:szCs w:val="24"/>
          <w:shd w:val="clear" w:color="auto" w:fill="FFFFFF"/>
        </w:rPr>
      </w:pPr>
    </w:p>
    <w:p w14:paraId="15F8A3F4" w14:textId="77777777" w:rsidR="00955050" w:rsidRDefault="00955050" w:rsidP="00AB4D08">
      <w:pPr>
        <w:spacing w:line="240" w:lineRule="auto"/>
        <w:ind w:left="567"/>
        <w:contextualSpacing/>
        <w:jc w:val="both"/>
        <w:rPr>
          <w:rFonts w:ascii="Times New Roman" w:hAnsi="Times New Roman"/>
          <w:color w:val="222222"/>
          <w:sz w:val="24"/>
          <w:szCs w:val="24"/>
          <w:shd w:val="clear" w:color="auto" w:fill="FFFFFF"/>
        </w:rPr>
      </w:pPr>
    </w:p>
    <w:p w14:paraId="6F1E349E" w14:textId="6891FEC6" w:rsidR="00327557" w:rsidRDefault="00327557" w:rsidP="00AB4D08">
      <w:pPr>
        <w:spacing w:line="240" w:lineRule="auto"/>
        <w:ind w:left="567"/>
        <w:contextualSpacing/>
        <w:jc w:val="both"/>
        <w:rPr>
          <w:rFonts w:ascii="Times New Roman" w:hAnsi="Times New Roman"/>
          <w:color w:val="222222"/>
          <w:sz w:val="24"/>
          <w:szCs w:val="24"/>
          <w:shd w:val="clear" w:color="auto" w:fill="FFFFFF"/>
        </w:rPr>
      </w:pPr>
    </w:p>
    <w:p w14:paraId="26D101E0" w14:textId="77777777" w:rsidR="003856F0" w:rsidRDefault="003856F0" w:rsidP="00AB4D08">
      <w:pPr>
        <w:spacing w:line="240" w:lineRule="auto"/>
        <w:ind w:left="567"/>
        <w:contextualSpacing/>
        <w:jc w:val="both"/>
        <w:rPr>
          <w:rFonts w:ascii="Times New Roman" w:hAnsi="Times New Roman"/>
          <w:color w:val="222222"/>
          <w:sz w:val="24"/>
          <w:szCs w:val="24"/>
          <w:shd w:val="clear" w:color="auto" w:fill="FFFFFF"/>
        </w:rPr>
      </w:pPr>
    </w:p>
    <w:tbl>
      <w:tblPr>
        <w:tblW w:w="7160" w:type="dxa"/>
        <w:jc w:val="center"/>
        <w:tblCellMar>
          <w:left w:w="70" w:type="dxa"/>
          <w:right w:w="70" w:type="dxa"/>
        </w:tblCellMar>
        <w:tblLook w:val="04A0" w:firstRow="1" w:lastRow="0" w:firstColumn="1" w:lastColumn="0" w:noHBand="0" w:noVBand="1"/>
      </w:tblPr>
      <w:tblGrid>
        <w:gridCol w:w="2140"/>
        <w:gridCol w:w="3100"/>
        <w:gridCol w:w="1920"/>
      </w:tblGrid>
      <w:tr w:rsidR="003856F0" w:rsidRPr="003856F0" w14:paraId="1919A42F" w14:textId="77777777" w:rsidTr="001C39DA">
        <w:trPr>
          <w:trHeight w:val="255"/>
          <w:jc w:val="center"/>
        </w:trPr>
        <w:tc>
          <w:tcPr>
            <w:tcW w:w="21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AEC204"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ENDEUDAMIENTO</w:t>
            </w:r>
          </w:p>
        </w:tc>
        <w:tc>
          <w:tcPr>
            <w:tcW w:w="3100" w:type="dxa"/>
            <w:tcBorders>
              <w:top w:val="single" w:sz="4" w:space="0" w:color="auto"/>
              <w:left w:val="nil"/>
              <w:bottom w:val="single" w:sz="4" w:space="0" w:color="auto"/>
              <w:right w:val="single" w:sz="4" w:space="0" w:color="auto"/>
            </w:tcBorders>
            <w:shd w:val="clear" w:color="000000" w:fill="D9D9D9"/>
            <w:noWrap/>
            <w:vAlign w:val="center"/>
            <w:hideMark/>
          </w:tcPr>
          <w:p w14:paraId="1E55FBE8"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FORMULA</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14:paraId="63ADAED9" w14:textId="77777777" w:rsidR="003856F0" w:rsidRPr="003856F0" w:rsidRDefault="003856F0" w:rsidP="003856F0">
            <w:pPr>
              <w:spacing w:after="0" w:line="240" w:lineRule="auto"/>
              <w:jc w:val="center"/>
              <w:rPr>
                <w:rFonts w:ascii="Times New Roman" w:eastAsia="Times New Roman" w:hAnsi="Times New Roman"/>
                <w:b/>
                <w:bCs/>
                <w:sz w:val="20"/>
                <w:szCs w:val="20"/>
                <w:lang w:eastAsia="es-CO"/>
              </w:rPr>
            </w:pPr>
            <w:r w:rsidRPr="003856F0">
              <w:rPr>
                <w:rFonts w:ascii="Times New Roman" w:eastAsia="Times New Roman" w:hAnsi="Times New Roman"/>
                <w:b/>
                <w:bCs/>
                <w:sz w:val="20"/>
                <w:szCs w:val="20"/>
                <w:lang w:eastAsia="es-CO"/>
              </w:rPr>
              <w:t>%</w:t>
            </w:r>
          </w:p>
        </w:tc>
      </w:tr>
      <w:tr w:rsidR="003856F0" w:rsidRPr="003856F0" w14:paraId="50960880" w14:textId="77777777" w:rsidTr="001C39DA">
        <w:trPr>
          <w:trHeight w:val="25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7BC6164"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Nivel de Endeudamiento</w:t>
            </w:r>
          </w:p>
        </w:tc>
        <w:tc>
          <w:tcPr>
            <w:tcW w:w="3100" w:type="dxa"/>
            <w:tcBorders>
              <w:top w:val="nil"/>
              <w:left w:val="nil"/>
              <w:bottom w:val="single" w:sz="4" w:space="0" w:color="auto"/>
              <w:right w:val="single" w:sz="4" w:space="0" w:color="auto"/>
            </w:tcBorders>
            <w:shd w:val="clear" w:color="auto" w:fill="auto"/>
            <w:noWrap/>
            <w:vAlign w:val="bottom"/>
            <w:hideMark/>
          </w:tcPr>
          <w:p w14:paraId="60F0E349" w14:textId="77777777" w:rsidR="003856F0" w:rsidRPr="003856F0" w:rsidRDefault="003856F0" w:rsidP="003856F0">
            <w:pPr>
              <w:spacing w:after="0" w:line="240" w:lineRule="auto"/>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Total Pasivo/Total Activo</w:t>
            </w:r>
          </w:p>
        </w:tc>
        <w:tc>
          <w:tcPr>
            <w:tcW w:w="1920" w:type="dxa"/>
            <w:tcBorders>
              <w:top w:val="nil"/>
              <w:left w:val="nil"/>
              <w:bottom w:val="single" w:sz="4" w:space="0" w:color="auto"/>
              <w:right w:val="single" w:sz="4" w:space="0" w:color="auto"/>
            </w:tcBorders>
            <w:shd w:val="clear" w:color="auto" w:fill="auto"/>
            <w:noWrap/>
            <w:vAlign w:val="bottom"/>
            <w:hideMark/>
          </w:tcPr>
          <w:p w14:paraId="144C5CEF" w14:textId="77777777" w:rsidR="003856F0" w:rsidRPr="003856F0" w:rsidRDefault="003856F0" w:rsidP="003856F0">
            <w:pPr>
              <w:spacing w:after="0" w:line="240" w:lineRule="auto"/>
              <w:jc w:val="right"/>
              <w:rPr>
                <w:rFonts w:ascii="Times New Roman" w:eastAsia="Times New Roman" w:hAnsi="Times New Roman"/>
                <w:sz w:val="20"/>
                <w:szCs w:val="20"/>
                <w:lang w:eastAsia="es-CO"/>
              </w:rPr>
            </w:pPr>
            <w:r w:rsidRPr="003856F0">
              <w:rPr>
                <w:rFonts w:ascii="Times New Roman" w:eastAsia="Times New Roman" w:hAnsi="Times New Roman"/>
                <w:sz w:val="20"/>
                <w:szCs w:val="20"/>
                <w:lang w:eastAsia="es-CO"/>
              </w:rPr>
              <w:t>1,80%</w:t>
            </w:r>
          </w:p>
        </w:tc>
      </w:tr>
    </w:tbl>
    <w:p w14:paraId="6FAA0030" w14:textId="77777777" w:rsidR="003856F0" w:rsidRDefault="003856F0" w:rsidP="00AB4D08">
      <w:pPr>
        <w:spacing w:line="240" w:lineRule="auto"/>
        <w:ind w:left="567"/>
        <w:contextualSpacing/>
        <w:jc w:val="both"/>
        <w:rPr>
          <w:rFonts w:ascii="Times New Roman" w:hAnsi="Times New Roman"/>
          <w:color w:val="222222"/>
          <w:sz w:val="24"/>
          <w:szCs w:val="24"/>
          <w:shd w:val="clear" w:color="auto" w:fill="FFFFFF"/>
        </w:rPr>
      </w:pPr>
    </w:p>
    <w:p w14:paraId="7A276EB9" w14:textId="53F2C8EC" w:rsidR="009C65DC" w:rsidRPr="00AB4D08" w:rsidRDefault="00AB4D08" w:rsidP="00AB4D08">
      <w:pPr>
        <w:spacing w:line="240" w:lineRule="auto"/>
        <w:ind w:left="567"/>
        <w:contextualSpacing/>
        <w:jc w:val="both"/>
        <w:rPr>
          <w:rFonts w:ascii="Times New Roman" w:hAnsi="Times New Roman"/>
          <w:sz w:val="24"/>
          <w:szCs w:val="24"/>
        </w:rPr>
      </w:pPr>
      <w:r w:rsidRPr="00AB4D08">
        <w:rPr>
          <w:rFonts w:ascii="Times New Roman" w:hAnsi="Times New Roman"/>
          <w:b/>
          <w:sz w:val="24"/>
          <w:szCs w:val="24"/>
          <w:lang w:val="es-MX"/>
        </w:rPr>
        <w:t>Razón Corriente</w:t>
      </w:r>
      <w:r w:rsidRPr="00AB4D08">
        <w:rPr>
          <w:rFonts w:ascii="Times New Roman" w:hAnsi="Times New Roman"/>
          <w:b/>
          <w:sz w:val="24"/>
          <w:szCs w:val="24"/>
        </w:rPr>
        <w:t>:</w:t>
      </w:r>
      <w:r w:rsidRPr="00AB4D08">
        <w:rPr>
          <w:rFonts w:ascii="Times New Roman" w:hAnsi="Times New Roman"/>
          <w:sz w:val="24"/>
          <w:szCs w:val="24"/>
        </w:rPr>
        <w:t xml:space="preserve"> Al cierre de l</w:t>
      </w:r>
      <w:r>
        <w:rPr>
          <w:rFonts w:ascii="Times New Roman" w:hAnsi="Times New Roman"/>
          <w:sz w:val="24"/>
          <w:szCs w:val="24"/>
        </w:rPr>
        <w:t>a vigencia 2019</w:t>
      </w:r>
      <w:r w:rsidRPr="00AB4D08">
        <w:rPr>
          <w:rFonts w:ascii="Times New Roman" w:hAnsi="Times New Roman"/>
          <w:sz w:val="24"/>
          <w:szCs w:val="24"/>
        </w:rPr>
        <w:t>, el Instituto presenta una Razón Corriente de 15.</w:t>
      </w:r>
      <w:r>
        <w:rPr>
          <w:rFonts w:ascii="Times New Roman" w:hAnsi="Times New Roman"/>
          <w:sz w:val="24"/>
          <w:szCs w:val="24"/>
        </w:rPr>
        <w:t>61</w:t>
      </w:r>
      <w:r w:rsidRPr="00AB4D08">
        <w:rPr>
          <w:rFonts w:ascii="Times New Roman" w:hAnsi="Times New Roman"/>
          <w:sz w:val="24"/>
          <w:szCs w:val="24"/>
        </w:rPr>
        <w:t xml:space="preserve"> veces, significa que por cada peso que la entidad debe en el corto plazo cuenta con  $15.</w:t>
      </w:r>
      <w:r>
        <w:rPr>
          <w:rFonts w:ascii="Times New Roman" w:hAnsi="Times New Roman"/>
          <w:sz w:val="24"/>
          <w:szCs w:val="24"/>
        </w:rPr>
        <w:t>61</w:t>
      </w:r>
      <w:r w:rsidRPr="00AB4D08">
        <w:rPr>
          <w:rFonts w:ascii="Times New Roman" w:hAnsi="Times New Roman"/>
          <w:sz w:val="24"/>
          <w:szCs w:val="24"/>
        </w:rPr>
        <w:t xml:space="preserve"> para respaldar esa obligación</w:t>
      </w:r>
    </w:p>
    <w:p w14:paraId="7E40411C" w14:textId="77777777" w:rsidR="00AB4D08" w:rsidRPr="00AB4D08" w:rsidRDefault="00AB4D08" w:rsidP="00AB4D08">
      <w:pPr>
        <w:spacing w:line="240" w:lineRule="auto"/>
        <w:ind w:left="567"/>
        <w:contextualSpacing/>
        <w:jc w:val="both"/>
        <w:rPr>
          <w:rFonts w:ascii="Times New Roman" w:hAnsi="Times New Roman"/>
          <w:sz w:val="24"/>
          <w:szCs w:val="24"/>
        </w:rPr>
      </w:pPr>
    </w:p>
    <w:p w14:paraId="2E6F6742" w14:textId="2A647A83" w:rsidR="00AB4D08" w:rsidRPr="00AB4D08" w:rsidRDefault="00AB4D08" w:rsidP="00AB4D08">
      <w:pPr>
        <w:spacing w:line="240" w:lineRule="auto"/>
        <w:ind w:left="567"/>
        <w:contextualSpacing/>
        <w:jc w:val="both"/>
        <w:rPr>
          <w:rFonts w:ascii="Times New Roman" w:hAnsi="Times New Roman"/>
          <w:sz w:val="24"/>
          <w:szCs w:val="24"/>
        </w:rPr>
      </w:pPr>
      <w:r w:rsidRPr="00AB4D08">
        <w:rPr>
          <w:rFonts w:ascii="Times New Roman" w:hAnsi="Times New Roman"/>
          <w:b/>
          <w:sz w:val="24"/>
          <w:szCs w:val="24"/>
          <w:lang w:val="es-MX"/>
        </w:rPr>
        <w:t>Capital de Trabajo</w:t>
      </w:r>
      <w:r w:rsidRPr="00AB4D08">
        <w:rPr>
          <w:rFonts w:ascii="Times New Roman" w:hAnsi="Times New Roman"/>
          <w:sz w:val="24"/>
          <w:szCs w:val="24"/>
        </w:rPr>
        <w:t xml:space="preserve">: Indica </w:t>
      </w:r>
      <w:r w:rsidR="00043520">
        <w:rPr>
          <w:rFonts w:ascii="Times New Roman" w:hAnsi="Times New Roman"/>
          <w:sz w:val="24"/>
          <w:szCs w:val="24"/>
        </w:rPr>
        <w:t>que a la entidad le que</w:t>
      </w:r>
      <w:r w:rsidRPr="00AB4D08">
        <w:rPr>
          <w:rFonts w:ascii="Times New Roman" w:hAnsi="Times New Roman"/>
          <w:sz w:val="24"/>
          <w:szCs w:val="24"/>
        </w:rPr>
        <w:t xml:space="preserve">da </w:t>
      </w:r>
      <w:r w:rsidR="00043520">
        <w:rPr>
          <w:rFonts w:ascii="Times New Roman" w:hAnsi="Times New Roman"/>
          <w:sz w:val="24"/>
          <w:szCs w:val="24"/>
        </w:rPr>
        <w:t xml:space="preserve">en efectivo $1.638.690.376.237, </w:t>
      </w:r>
      <w:r w:rsidRPr="00AB4D08">
        <w:rPr>
          <w:rFonts w:ascii="Times New Roman" w:hAnsi="Times New Roman"/>
          <w:sz w:val="24"/>
          <w:szCs w:val="24"/>
        </w:rPr>
        <w:t>u otros activos corrientes después de haber pagado todos sus pasivos de corto plazo.</w:t>
      </w:r>
    </w:p>
    <w:p w14:paraId="09F60421" w14:textId="77777777" w:rsidR="00AB4D08" w:rsidRPr="00AB4D08" w:rsidRDefault="00AB4D08" w:rsidP="00AB4D08">
      <w:pPr>
        <w:spacing w:line="240" w:lineRule="auto"/>
        <w:ind w:left="567"/>
        <w:contextualSpacing/>
        <w:jc w:val="both"/>
        <w:rPr>
          <w:rFonts w:ascii="Times New Roman" w:hAnsi="Times New Roman"/>
          <w:sz w:val="24"/>
          <w:szCs w:val="24"/>
        </w:rPr>
      </w:pPr>
    </w:p>
    <w:p w14:paraId="44F29FA5" w14:textId="3011E78C" w:rsidR="00374472" w:rsidRPr="00AB4D08" w:rsidRDefault="00374472" w:rsidP="00AB4D08">
      <w:pPr>
        <w:spacing w:line="240" w:lineRule="auto"/>
        <w:ind w:left="567"/>
        <w:contextualSpacing/>
        <w:jc w:val="both"/>
        <w:rPr>
          <w:rFonts w:ascii="Times New Roman" w:hAnsi="Times New Roman"/>
          <w:sz w:val="24"/>
          <w:szCs w:val="24"/>
        </w:rPr>
      </w:pPr>
      <w:r w:rsidRPr="00AB4D08">
        <w:rPr>
          <w:rFonts w:ascii="Times New Roman" w:hAnsi="Times New Roman"/>
          <w:b/>
          <w:sz w:val="24"/>
          <w:szCs w:val="24"/>
        </w:rPr>
        <w:t>Nivel de Endeudamiento</w:t>
      </w:r>
      <w:r w:rsidR="00AB4D08" w:rsidRPr="00AB4D08">
        <w:rPr>
          <w:rFonts w:ascii="Times New Roman" w:hAnsi="Times New Roman"/>
          <w:b/>
          <w:sz w:val="24"/>
          <w:szCs w:val="24"/>
        </w:rPr>
        <w:t>:</w:t>
      </w:r>
      <w:r w:rsidRPr="00AB4D08">
        <w:rPr>
          <w:rFonts w:ascii="Times New Roman" w:hAnsi="Times New Roman"/>
          <w:sz w:val="24"/>
          <w:szCs w:val="24"/>
        </w:rPr>
        <w:t xml:space="preserve"> </w:t>
      </w:r>
      <w:r w:rsidR="00AB4D08" w:rsidRPr="00AB4D08">
        <w:rPr>
          <w:rFonts w:ascii="Times New Roman" w:hAnsi="Times New Roman"/>
          <w:sz w:val="24"/>
          <w:szCs w:val="24"/>
        </w:rPr>
        <w:t>El resultado de este indicador refleja que por cada peso que el Instituto tiene invertido en activos, el 1.80% se encuentra representado o ha sido financiado por cuentas por pagar, acreedores y/</w:t>
      </w:r>
      <w:proofErr w:type="spellStart"/>
      <w:r w:rsidR="00AB4D08" w:rsidRPr="00AB4D08">
        <w:rPr>
          <w:rFonts w:ascii="Times New Roman" w:hAnsi="Times New Roman"/>
          <w:sz w:val="24"/>
          <w:szCs w:val="24"/>
        </w:rPr>
        <w:t>o</w:t>
      </w:r>
      <w:proofErr w:type="spellEnd"/>
      <w:r w:rsidR="00AB4D08" w:rsidRPr="00AB4D08">
        <w:rPr>
          <w:rFonts w:ascii="Times New Roman" w:hAnsi="Times New Roman"/>
          <w:sz w:val="24"/>
          <w:szCs w:val="24"/>
        </w:rPr>
        <w:t xml:space="preserve"> otros pasivos.</w:t>
      </w:r>
    </w:p>
    <w:p w14:paraId="6C525BFE" w14:textId="77777777" w:rsidR="00374472" w:rsidRDefault="00374472" w:rsidP="00AB4D08">
      <w:pPr>
        <w:spacing w:after="0" w:line="240" w:lineRule="auto"/>
        <w:contextualSpacing/>
        <w:jc w:val="both"/>
        <w:rPr>
          <w:rFonts w:ascii="Times New Roman" w:hAnsi="Times New Roman"/>
          <w:sz w:val="24"/>
          <w:szCs w:val="24"/>
        </w:rPr>
      </w:pPr>
    </w:p>
    <w:p w14:paraId="5E5068FC" w14:textId="77777777" w:rsidR="00A158EC" w:rsidRDefault="00A158EC" w:rsidP="00AB4D08">
      <w:pPr>
        <w:spacing w:after="0" w:line="240" w:lineRule="auto"/>
        <w:contextualSpacing/>
        <w:jc w:val="both"/>
        <w:rPr>
          <w:rFonts w:ascii="Times New Roman" w:hAnsi="Times New Roman"/>
          <w:sz w:val="24"/>
          <w:szCs w:val="24"/>
        </w:rPr>
      </w:pPr>
    </w:p>
    <w:p w14:paraId="2AC4521B" w14:textId="77777777" w:rsidR="00C92172" w:rsidRDefault="00C92172" w:rsidP="00AB4D08">
      <w:pPr>
        <w:spacing w:after="0" w:line="240" w:lineRule="auto"/>
        <w:contextualSpacing/>
        <w:jc w:val="both"/>
        <w:rPr>
          <w:rFonts w:ascii="Times New Roman" w:hAnsi="Times New Roman"/>
          <w:sz w:val="24"/>
          <w:szCs w:val="24"/>
        </w:rPr>
      </w:pPr>
    </w:p>
    <w:p w14:paraId="488EA59B" w14:textId="77777777" w:rsidR="00C92172" w:rsidRDefault="00C92172" w:rsidP="00AB4D08">
      <w:pPr>
        <w:spacing w:after="0" w:line="240" w:lineRule="auto"/>
        <w:contextualSpacing/>
        <w:jc w:val="both"/>
        <w:rPr>
          <w:rFonts w:ascii="Times New Roman" w:hAnsi="Times New Roman"/>
          <w:sz w:val="24"/>
          <w:szCs w:val="24"/>
        </w:rPr>
      </w:pPr>
    </w:p>
    <w:p w14:paraId="2417AA93" w14:textId="77777777" w:rsidR="001C39DA" w:rsidRDefault="001C39DA" w:rsidP="00AB4D08">
      <w:pPr>
        <w:spacing w:after="0" w:line="240" w:lineRule="auto"/>
        <w:contextualSpacing/>
        <w:jc w:val="both"/>
        <w:rPr>
          <w:rFonts w:ascii="Times New Roman" w:hAnsi="Times New Roman"/>
          <w:sz w:val="24"/>
          <w:szCs w:val="24"/>
        </w:rPr>
      </w:pPr>
    </w:p>
    <w:p w14:paraId="4DD880E2" w14:textId="77777777" w:rsidR="00A158EC" w:rsidRPr="00A158EC" w:rsidRDefault="00A158EC" w:rsidP="00AB4D08">
      <w:pPr>
        <w:spacing w:after="0" w:line="240" w:lineRule="auto"/>
        <w:contextualSpacing/>
        <w:jc w:val="both"/>
        <w:rPr>
          <w:rFonts w:ascii="Times New Roman" w:hAnsi="Times New Roman"/>
          <w:sz w:val="24"/>
          <w:szCs w:val="24"/>
        </w:rPr>
      </w:pPr>
    </w:p>
    <w:p w14:paraId="5CAF1F68" w14:textId="77777777" w:rsidR="002E2B96" w:rsidRPr="00A158EC" w:rsidRDefault="002E2B96" w:rsidP="00AB4D08">
      <w:pPr>
        <w:spacing w:after="0" w:line="240" w:lineRule="auto"/>
        <w:contextualSpacing/>
        <w:jc w:val="both"/>
        <w:rPr>
          <w:rFonts w:ascii="Times New Roman" w:hAnsi="Times New Roman"/>
          <w:sz w:val="24"/>
          <w:szCs w:val="24"/>
        </w:rPr>
      </w:pPr>
    </w:p>
    <w:p w14:paraId="3FB8E5AB" w14:textId="2FEC2906" w:rsidR="00A158EC" w:rsidRPr="00A158EC" w:rsidRDefault="00A158EC" w:rsidP="00C92172">
      <w:pPr>
        <w:autoSpaceDE w:val="0"/>
        <w:autoSpaceDN w:val="0"/>
        <w:adjustRightInd w:val="0"/>
        <w:spacing w:line="240" w:lineRule="auto"/>
        <w:ind w:left="567"/>
        <w:contextualSpacing/>
        <w:rPr>
          <w:rFonts w:ascii="Times New Roman" w:hAnsi="Times New Roman"/>
          <w:b/>
          <w:sz w:val="24"/>
          <w:szCs w:val="24"/>
        </w:rPr>
      </w:pPr>
      <w:r>
        <w:rPr>
          <w:rFonts w:ascii="Times New Roman" w:hAnsi="Times New Roman"/>
          <w:b/>
          <w:sz w:val="24"/>
          <w:szCs w:val="24"/>
        </w:rPr>
        <w:t>DIEGO SANCHEZ FONSECA</w:t>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t>LUZ NELLY REY BERNAL</w:t>
      </w:r>
    </w:p>
    <w:p w14:paraId="334F9C6D" w14:textId="61132D9A" w:rsidR="00A158EC" w:rsidRPr="00A158EC" w:rsidRDefault="006411CA" w:rsidP="00C92172">
      <w:pPr>
        <w:autoSpaceDE w:val="0"/>
        <w:autoSpaceDN w:val="0"/>
        <w:adjustRightInd w:val="0"/>
        <w:spacing w:line="240" w:lineRule="auto"/>
        <w:ind w:left="567"/>
        <w:contextualSpacing/>
        <w:rPr>
          <w:rFonts w:ascii="Times New Roman" w:hAnsi="Times New Roman"/>
          <w:b/>
          <w:sz w:val="24"/>
          <w:szCs w:val="24"/>
        </w:rPr>
      </w:pPr>
      <w:r>
        <w:rPr>
          <w:rFonts w:ascii="Times New Roman" w:hAnsi="Times New Roman"/>
          <w:b/>
          <w:sz w:val="24"/>
          <w:szCs w:val="24"/>
        </w:rPr>
        <w:t xml:space="preserve"> </w:t>
      </w:r>
      <w:r w:rsidR="00A158EC">
        <w:rPr>
          <w:rFonts w:ascii="Times New Roman" w:hAnsi="Times New Roman"/>
          <w:b/>
          <w:sz w:val="24"/>
          <w:szCs w:val="24"/>
        </w:rPr>
        <w:t xml:space="preserve"> </w:t>
      </w:r>
      <w:r w:rsidR="00A158EC" w:rsidRPr="00A158EC">
        <w:rPr>
          <w:rFonts w:ascii="Times New Roman" w:hAnsi="Times New Roman"/>
          <w:b/>
          <w:sz w:val="24"/>
          <w:szCs w:val="24"/>
        </w:rPr>
        <w:t>REPRESENTANTE LEGAL</w:t>
      </w:r>
      <w:r w:rsidR="00A158EC" w:rsidRPr="00A158EC">
        <w:rPr>
          <w:rFonts w:ascii="Times New Roman" w:hAnsi="Times New Roman"/>
          <w:b/>
          <w:sz w:val="24"/>
          <w:szCs w:val="24"/>
        </w:rPr>
        <w:tab/>
      </w:r>
      <w:r w:rsidR="00A158EC">
        <w:rPr>
          <w:rFonts w:ascii="Times New Roman" w:hAnsi="Times New Roman"/>
          <w:b/>
          <w:sz w:val="24"/>
          <w:szCs w:val="24"/>
        </w:rPr>
        <w:tab/>
      </w:r>
      <w:r w:rsidR="00A158EC" w:rsidRPr="00A158EC">
        <w:rPr>
          <w:rFonts w:ascii="Times New Roman" w:hAnsi="Times New Roman"/>
          <w:b/>
          <w:sz w:val="24"/>
          <w:szCs w:val="24"/>
        </w:rPr>
        <w:tab/>
        <w:t xml:space="preserve">    CONTADOR PÚBLICO</w:t>
      </w:r>
    </w:p>
    <w:p w14:paraId="1030CA22" w14:textId="3F614C98" w:rsidR="00A158EC" w:rsidRPr="00A158EC" w:rsidRDefault="00A158EC" w:rsidP="00C92172">
      <w:pPr>
        <w:autoSpaceDE w:val="0"/>
        <w:autoSpaceDN w:val="0"/>
        <w:adjustRightInd w:val="0"/>
        <w:spacing w:line="240" w:lineRule="auto"/>
        <w:ind w:left="567"/>
        <w:contextualSpacing/>
        <w:rPr>
          <w:rFonts w:ascii="Times New Roman" w:hAnsi="Times New Roman"/>
          <w:b/>
          <w:sz w:val="24"/>
          <w:szCs w:val="24"/>
        </w:rPr>
      </w:pPr>
      <w:r>
        <w:rPr>
          <w:rFonts w:ascii="Times New Roman" w:hAnsi="Times New Roman"/>
          <w:b/>
          <w:sz w:val="24"/>
          <w:szCs w:val="24"/>
        </w:rPr>
        <w:t xml:space="preserve"> </w:t>
      </w:r>
      <w:r w:rsidR="006411CA">
        <w:rPr>
          <w:rFonts w:ascii="Times New Roman" w:hAnsi="Times New Roman"/>
          <w:b/>
          <w:sz w:val="24"/>
          <w:szCs w:val="24"/>
        </w:rPr>
        <w:t xml:space="preserve"> </w:t>
      </w:r>
      <w:r w:rsidR="00C92172">
        <w:rPr>
          <w:rFonts w:ascii="Times New Roman" w:hAnsi="Times New Roman"/>
          <w:b/>
          <w:sz w:val="24"/>
          <w:szCs w:val="24"/>
        </w:rPr>
        <w:t xml:space="preserve">          </w:t>
      </w:r>
      <w:r w:rsidR="006411CA">
        <w:rPr>
          <w:rFonts w:ascii="Times New Roman" w:hAnsi="Times New Roman"/>
          <w:b/>
          <w:sz w:val="24"/>
          <w:szCs w:val="24"/>
        </w:rPr>
        <w:t xml:space="preserve"> </w:t>
      </w:r>
      <w:r w:rsidRPr="00A158EC">
        <w:rPr>
          <w:rFonts w:ascii="Times New Roman" w:hAnsi="Times New Roman"/>
          <w:b/>
          <w:sz w:val="24"/>
          <w:szCs w:val="24"/>
        </w:rPr>
        <w:t xml:space="preserve">C.C. </w:t>
      </w:r>
      <w:r>
        <w:rPr>
          <w:rFonts w:ascii="Times New Roman" w:hAnsi="Times New Roman"/>
          <w:b/>
          <w:sz w:val="24"/>
          <w:szCs w:val="24"/>
        </w:rPr>
        <w:t>79.237.267</w:t>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t>C.C. 40.379.340</w:t>
      </w:r>
    </w:p>
    <w:p w14:paraId="2BF2F24F" w14:textId="12C4369E" w:rsidR="00A158EC" w:rsidRPr="00A158EC" w:rsidRDefault="00A158EC" w:rsidP="00C92172">
      <w:pPr>
        <w:autoSpaceDE w:val="0"/>
        <w:autoSpaceDN w:val="0"/>
        <w:adjustRightInd w:val="0"/>
        <w:spacing w:line="240" w:lineRule="auto"/>
        <w:ind w:left="567"/>
        <w:contextualSpacing/>
        <w:rPr>
          <w:rFonts w:ascii="Times New Roman" w:hAnsi="Times New Roman"/>
          <w:sz w:val="24"/>
          <w:szCs w:val="24"/>
        </w:rPr>
      </w:pP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Pr="00A158EC">
        <w:rPr>
          <w:rFonts w:ascii="Times New Roman" w:hAnsi="Times New Roman"/>
          <w:b/>
          <w:sz w:val="24"/>
          <w:szCs w:val="24"/>
        </w:rPr>
        <w:tab/>
      </w:r>
      <w:r w:rsidR="00C92172">
        <w:rPr>
          <w:rFonts w:ascii="Times New Roman" w:hAnsi="Times New Roman"/>
          <w:b/>
          <w:sz w:val="24"/>
          <w:szCs w:val="24"/>
        </w:rPr>
        <w:t xml:space="preserve">            </w:t>
      </w:r>
      <w:r w:rsidRPr="00A158EC">
        <w:rPr>
          <w:rFonts w:ascii="Times New Roman" w:hAnsi="Times New Roman"/>
          <w:b/>
          <w:sz w:val="24"/>
          <w:szCs w:val="24"/>
        </w:rPr>
        <w:t xml:space="preserve">  T.P. 31.742-T</w:t>
      </w:r>
    </w:p>
    <w:sectPr w:rsidR="00A158EC" w:rsidRPr="00A158EC" w:rsidSect="002D1A9A">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BA68C" w14:textId="77777777" w:rsidR="00D80027" w:rsidRDefault="00D80027" w:rsidP="008F1462">
      <w:pPr>
        <w:spacing w:after="0" w:line="240" w:lineRule="auto"/>
      </w:pPr>
      <w:r>
        <w:separator/>
      </w:r>
    </w:p>
  </w:endnote>
  <w:endnote w:type="continuationSeparator" w:id="0">
    <w:p w14:paraId="18B4DB78" w14:textId="77777777" w:rsidR="00D80027" w:rsidRDefault="00D80027" w:rsidP="008F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484409"/>
      <w:docPartObj>
        <w:docPartGallery w:val="Page Numbers (Bottom of Page)"/>
        <w:docPartUnique/>
      </w:docPartObj>
    </w:sdtPr>
    <w:sdtEndPr/>
    <w:sdtContent>
      <w:p w14:paraId="1300DBB5" w14:textId="5465612A" w:rsidR="003D16FB" w:rsidRDefault="003D16FB">
        <w:pPr>
          <w:pStyle w:val="Piedepgina"/>
          <w:jc w:val="right"/>
        </w:pPr>
        <w:r>
          <w:fldChar w:fldCharType="begin"/>
        </w:r>
        <w:r>
          <w:instrText>PAGE   \* MERGEFORMAT</w:instrText>
        </w:r>
        <w:r>
          <w:fldChar w:fldCharType="separate"/>
        </w:r>
        <w:r w:rsidR="00C203C4" w:rsidRPr="00C203C4">
          <w:rPr>
            <w:noProof/>
            <w:lang w:val="es-ES"/>
          </w:rPr>
          <w:t>87</w:t>
        </w:r>
        <w:r>
          <w:fldChar w:fldCharType="end"/>
        </w:r>
      </w:p>
    </w:sdtContent>
  </w:sdt>
  <w:p w14:paraId="74E194D7" w14:textId="77777777" w:rsidR="003D16FB" w:rsidRDefault="003D16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88352" w14:textId="77777777" w:rsidR="00D80027" w:rsidRDefault="00D80027" w:rsidP="008F1462">
      <w:pPr>
        <w:spacing w:after="0" w:line="240" w:lineRule="auto"/>
      </w:pPr>
      <w:r>
        <w:separator/>
      </w:r>
    </w:p>
  </w:footnote>
  <w:footnote w:type="continuationSeparator" w:id="0">
    <w:p w14:paraId="78D3387F" w14:textId="77777777" w:rsidR="00D80027" w:rsidRDefault="00D80027" w:rsidP="008F1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9C2B3" w14:textId="5F2AF236" w:rsidR="003D16FB" w:rsidRDefault="003D16FB">
    <w:pPr>
      <w:pStyle w:val="Encabezado"/>
      <w:rPr>
        <w:noProof/>
      </w:rPr>
    </w:pPr>
    <w:r>
      <w:rPr>
        <w:noProof/>
        <w:lang w:eastAsia="es-CO"/>
      </w:rPr>
      <w:drawing>
        <wp:anchor distT="0" distB="0" distL="114300" distR="114300" simplePos="0" relativeHeight="251658240" behindDoc="0" locked="0" layoutInCell="1" allowOverlap="1" wp14:anchorId="0C3632CC" wp14:editId="6A8C0174">
          <wp:simplePos x="0" y="0"/>
          <wp:positionH relativeFrom="column">
            <wp:posOffset>2215515</wp:posOffset>
          </wp:positionH>
          <wp:positionV relativeFrom="paragraph">
            <wp:posOffset>-2540</wp:posOffset>
          </wp:positionV>
          <wp:extent cx="971550" cy="590550"/>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1550" cy="590550"/>
                  </a:xfrm>
                  <a:prstGeom prst="rect">
                    <a:avLst/>
                  </a:prstGeom>
                </pic:spPr>
              </pic:pic>
            </a:graphicData>
          </a:graphic>
        </wp:anchor>
      </w:drawing>
    </w:r>
  </w:p>
  <w:p w14:paraId="78CF4120" w14:textId="1CC0F762" w:rsidR="003D16FB" w:rsidRDefault="003D16FB">
    <w:pPr>
      <w:pStyle w:val="Encabezado"/>
      <w:rPr>
        <w:noProof/>
      </w:rPr>
    </w:pPr>
  </w:p>
  <w:p w14:paraId="42026707" w14:textId="77777777" w:rsidR="003D16FB" w:rsidRDefault="003D16FB">
    <w:pPr>
      <w:pStyle w:val="Encabezado"/>
      <w:rPr>
        <w:noProof/>
      </w:rPr>
    </w:pPr>
  </w:p>
  <w:p w14:paraId="4097DC2E" w14:textId="2CB5AE51" w:rsidR="003D16FB" w:rsidRDefault="003D16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C0B"/>
    <w:multiLevelType w:val="hybridMultilevel"/>
    <w:tmpl w:val="839C9EDE"/>
    <w:lvl w:ilvl="0" w:tplc="240A0001">
      <w:start w:val="1"/>
      <w:numFmt w:val="bullet"/>
      <w:lvlText w:val=""/>
      <w:lvlJc w:val="left"/>
      <w:pPr>
        <w:ind w:left="360" w:hanging="360"/>
      </w:pPr>
      <w:rPr>
        <w:rFonts w:ascii="Symbol" w:hAnsi="Symbol" w:hint="default"/>
      </w:rPr>
    </w:lvl>
    <w:lvl w:ilvl="1" w:tplc="240A0017">
      <w:start w:val="1"/>
      <w:numFmt w:val="lowerLetter"/>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09E6275"/>
    <w:multiLevelType w:val="multilevel"/>
    <w:tmpl w:val="FA7642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C53938"/>
    <w:multiLevelType w:val="hybridMultilevel"/>
    <w:tmpl w:val="745EBC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863610"/>
    <w:multiLevelType w:val="multilevel"/>
    <w:tmpl w:val="676AB192"/>
    <w:lvl w:ilvl="0">
      <w:start w:val="3"/>
      <w:numFmt w:val="bullet"/>
      <w:lvlText w:val="-"/>
      <w:lvlJc w:val="left"/>
      <w:pPr>
        <w:ind w:left="1575" w:hanging="360"/>
      </w:pPr>
      <w:rPr>
        <w:rFonts w:ascii="Calibri" w:eastAsia="Calibri" w:hAnsi="Calibri" w:cs="Calibri"/>
      </w:rPr>
    </w:lvl>
    <w:lvl w:ilvl="1">
      <w:start w:val="1"/>
      <w:numFmt w:val="bullet"/>
      <w:lvlText w:val="o"/>
      <w:lvlJc w:val="left"/>
      <w:pPr>
        <w:ind w:left="2295" w:hanging="360"/>
      </w:pPr>
      <w:rPr>
        <w:rFonts w:ascii="Courier New" w:eastAsia="Courier New" w:hAnsi="Courier New" w:cs="Courier New"/>
      </w:rPr>
    </w:lvl>
    <w:lvl w:ilvl="2">
      <w:start w:val="1"/>
      <w:numFmt w:val="bullet"/>
      <w:lvlText w:val="▪"/>
      <w:lvlJc w:val="left"/>
      <w:pPr>
        <w:ind w:left="3015" w:hanging="360"/>
      </w:pPr>
      <w:rPr>
        <w:rFonts w:ascii="Noto Sans Symbols" w:eastAsia="Noto Sans Symbols" w:hAnsi="Noto Sans Symbols" w:cs="Noto Sans Symbols"/>
      </w:rPr>
    </w:lvl>
    <w:lvl w:ilvl="3">
      <w:start w:val="1"/>
      <w:numFmt w:val="bullet"/>
      <w:lvlText w:val="●"/>
      <w:lvlJc w:val="left"/>
      <w:pPr>
        <w:ind w:left="3735" w:hanging="360"/>
      </w:pPr>
      <w:rPr>
        <w:rFonts w:ascii="Noto Sans Symbols" w:eastAsia="Noto Sans Symbols" w:hAnsi="Noto Sans Symbols" w:cs="Noto Sans Symbols"/>
      </w:rPr>
    </w:lvl>
    <w:lvl w:ilvl="4">
      <w:start w:val="1"/>
      <w:numFmt w:val="bullet"/>
      <w:lvlText w:val="o"/>
      <w:lvlJc w:val="left"/>
      <w:pPr>
        <w:ind w:left="4455" w:hanging="360"/>
      </w:pPr>
      <w:rPr>
        <w:rFonts w:ascii="Courier New" w:eastAsia="Courier New" w:hAnsi="Courier New" w:cs="Courier New"/>
      </w:rPr>
    </w:lvl>
    <w:lvl w:ilvl="5">
      <w:start w:val="1"/>
      <w:numFmt w:val="bullet"/>
      <w:lvlText w:val="▪"/>
      <w:lvlJc w:val="left"/>
      <w:pPr>
        <w:ind w:left="5175" w:hanging="360"/>
      </w:pPr>
      <w:rPr>
        <w:rFonts w:ascii="Noto Sans Symbols" w:eastAsia="Noto Sans Symbols" w:hAnsi="Noto Sans Symbols" w:cs="Noto Sans Symbols"/>
      </w:rPr>
    </w:lvl>
    <w:lvl w:ilvl="6">
      <w:start w:val="1"/>
      <w:numFmt w:val="bullet"/>
      <w:lvlText w:val="●"/>
      <w:lvlJc w:val="left"/>
      <w:pPr>
        <w:ind w:left="5895" w:hanging="360"/>
      </w:pPr>
      <w:rPr>
        <w:rFonts w:ascii="Noto Sans Symbols" w:eastAsia="Noto Sans Symbols" w:hAnsi="Noto Sans Symbols" w:cs="Noto Sans Symbols"/>
      </w:rPr>
    </w:lvl>
    <w:lvl w:ilvl="7">
      <w:start w:val="1"/>
      <w:numFmt w:val="bullet"/>
      <w:lvlText w:val="o"/>
      <w:lvlJc w:val="left"/>
      <w:pPr>
        <w:ind w:left="6615" w:hanging="360"/>
      </w:pPr>
      <w:rPr>
        <w:rFonts w:ascii="Courier New" w:eastAsia="Courier New" w:hAnsi="Courier New" w:cs="Courier New"/>
      </w:rPr>
    </w:lvl>
    <w:lvl w:ilvl="8">
      <w:start w:val="1"/>
      <w:numFmt w:val="bullet"/>
      <w:lvlText w:val="▪"/>
      <w:lvlJc w:val="left"/>
      <w:pPr>
        <w:ind w:left="7335" w:hanging="360"/>
      </w:pPr>
      <w:rPr>
        <w:rFonts w:ascii="Noto Sans Symbols" w:eastAsia="Noto Sans Symbols" w:hAnsi="Noto Sans Symbols" w:cs="Noto Sans Symbols"/>
      </w:rPr>
    </w:lvl>
  </w:abstractNum>
  <w:abstractNum w:abstractNumId="5" w15:restartNumberingAfterBreak="0">
    <w:nsid w:val="146E6532"/>
    <w:multiLevelType w:val="hybridMultilevel"/>
    <w:tmpl w:val="06181A7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6C5FE3"/>
    <w:multiLevelType w:val="hybridMultilevel"/>
    <w:tmpl w:val="90163C3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DED4DF6"/>
    <w:multiLevelType w:val="multilevel"/>
    <w:tmpl w:val="2BD8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DF1034"/>
    <w:multiLevelType w:val="hybridMultilevel"/>
    <w:tmpl w:val="3E468226"/>
    <w:lvl w:ilvl="0" w:tplc="9094ED26">
      <w:start w:val="1"/>
      <w:numFmt w:val="lowerLetter"/>
      <w:lvlText w:val="%1)"/>
      <w:lvlJc w:val="left"/>
      <w:pPr>
        <w:ind w:left="720" w:hanging="360"/>
      </w:pPr>
      <w:rPr>
        <w:rFonts w:hint="default"/>
        <w:b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D403DE"/>
    <w:multiLevelType w:val="multilevel"/>
    <w:tmpl w:val="36246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B06081"/>
    <w:multiLevelType w:val="multilevel"/>
    <w:tmpl w:val="DCC4C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06211"/>
    <w:multiLevelType w:val="hybridMultilevel"/>
    <w:tmpl w:val="0F9648B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400F5C"/>
    <w:multiLevelType w:val="hybridMultilevel"/>
    <w:tmpl w:val="1C6CA7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36D57F0"/>
    <w:multiLevelType w:val="multilevel"/>
    <w:tmpl w:val="AC3C2478"/>
    <w:lvl w:ilvl="0">
      <w:start w:val="2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46742C5"/>
    <w:multiLevelType w:val="multilevel"/>
    <w:tmpl w:val="9FBC589C"/>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56A18D4"/>
    <w:multiLevelType w:val="hybridMultilevel"/>
    <w:tmpl w:val="86BA0A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8FA48CB"/>
    <w:multiLevelType w:val="multilevel"/>
    <w:tmpl w:val="BAE0CB4A"/>
    <w:lvl w:ilvl="0">
      <w:start w:val="2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822103"/>
    <w:multiLevelType w:val="multilevel"/>
    <w:tmpl w:val="702EEF4E"/>
    <w:lvl w:ilvl="0">
      <w:start w:val="2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E12308D"/>
    <w:multiLevelType w:val="hybridMultilevel"/>
    <w:tmpl w:val="8F9276F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E2203C8"/>
    <w:multiLevelType w:val="hybridMultilevel"/>
    <w:tmpl w:val="816A23C4"/>
    <w:lvl w:ilvl="0" w:tplc="0D32B7C4">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11B2403"/>
    <w:multiLevelType w:val="hybridMultilevel"/>
    <w:tmpl w:val="A50C2A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16822C1"/>
    <w:multiLevelType w:val="hybridMultilevel"/>
    <w:tmpl w:val="3E4EB060"/>
    <w:lvl w:ilvl="0" w:tplc="240A0009">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15:restartNumberingAfterBreak="0">
    <w:nsid w:val="31DA23D7"/>
    <w:multiLevelType w:val="multilevel"/>
    <w:tmpl w:val="355A1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44139A"/>
    <w:multiLevelType w:val="multilevel"/>
    <w:tmpl w:val="4044F8C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93D2051"/>
    <w:multiLevelType w:val="multilevel"/>
    <w:tmpl w:val="FAB4623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9C75776"/>
    <w:multiLevelType w:val="hybridMultilevel"/>
    <w:tmpl w:val="35E61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CE4061"/>
    <w:multiLevelType w:val="multilevel"/>
    <w:tmpl w:val="08C84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044A7D"/>
    <w:multiLevelType w:val="multilevel"/>
    <w:tmpl w:val="ACA0F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506639"/>
    <w:multiLevelType w:val="multilevel"/>
    <w:tmpl w:val="EDFA4C2A"/>
    <w:lvl w:ilvl="0">
      <w:start w:val="2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485670E"/>
    <w:multiLevelType w:val="hybridMultilevel"/>
    <w:tmpl w:val="902AFD5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45910EF1"/>
    <w:multiLevelType w:val="multilevel"/>
    <w:tmpl w:val="B8C610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056FC6"/>
    <w:multiLevelType w:val="multilevel"/>
    <w:tmpl w:val="B538B4F2"/>
    <w:lvl w:ilvl="0">
      <w:start w:val="2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63E7941"/>
    <w:multiLevelType w:val="multilevel"/>
    <w:tmpl w:val="175EE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B3447D8"/>
    <w:multiLevelType w:val="multilevel"/>
    <w:tmpl w:val="DCF09C42"/>
    <w:lvl w:ilvl="0">
      <w:start w:val="2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4" w15:restartNumberingAfterBreak="0">
    <w:nsid w:val="4CBA4812"/>
    <w:multiLevelType w:val="hybridMultilevel"/>
    <w:tmpl w:val="1D3AB25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D916BD0"/>
    <w:multiLevelType w:val="hybridMultilevel"/>
    <w:tmpl w:val="CC7080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F372813"/>
    <w:multiLevelType w:val="multilevel"/>
    <w:tmpl w:val="3B162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0E"/>
    <w:multiLevelType w:val="hybridMultilevel"/>
    <w:tmpl w:val="C068E77C"/>
    <w:lvl w:ilvl="0" w:tplc="EC90D598">
      <w:numFmt w:val="bullet"/>
      <w:lvlText w:val="-"/>
      <w:lvlJc w:val="left"/>
      <w:pPr>
        <w:ind w:left="1776" w:hanging="360"/>
      </w:pPr>
      <w:rPr>
        <w:rFonts w:ascii="Times New Roman" w:eastAsia="Arial" w:hAnsi="Times New Roman" w:cs="Times New Roman"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8" w15:restartNumberingAfterBreak="0">
    <w:nsid w:val="536E5EDC"/>
    <w:multiLevelType w:val="hybridMultilevel"/>
    <w:tmpl w:val="E206AEDE"/>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54F030F8"/>
    <w:multiLevelType w:val="multilevel"/>
    <w:tmpl w:val="93801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7077F7C"/>
    <w:multiLevelType w:val="multilevel"/>
    <w:tmpl w:val="0144E080"/>
    <w:lvl w:ilvl="0">
      <w:start w:val="2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7B165B7"/>
    <w:multiLevelType w:val="multilevel"/>
    <w:tmpl w:val="C986B428"/>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5CB2759F"/>
    <w:multiLevelType w:val="hybridMultilevel"/>
    <w:tmpl w:val="CD6C587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5FC130AB"/>
    <w:multiLevelType w:val="multilevel"/>
    <w:tmpl w:val="780CD19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660C3878"/>
    <w:multiLevelType w:val="hybridMultilevel"/>
    <w:tmpl w:val="9B2EE108"/>
    <w:lvl w:ilvl="0" w:tplc="FB5201DC">
      <w:start w:val="1"/>
      <w:numFmt w:val="bullet"/>
      <w:lvlText w:val="-"/>
      <w:lvlJc w:val="left"/>
      <w:pPr>
        <w:ind w:left="720" w:hanging="360"/>
      </w:pPr>
      <w:rPr>
        <w:rFonts w:ascii="Times New Roman" w:eastAsia="Calibri" w:hAnsi="Times New Roman" w:cs="Times New Roman" w:hint="default"/>
        <w:b/>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9275842"/>
    <w:multiLevelType w:val="hybridMultilevel"/>
    <w:tmpl w:val="3DD46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979192D"/>
    <w:multiLevelType w:val="multilevel"/>
    <w:tmpl w:val="0240B0A8"/>
    <w:lvl w:ilvl="0">
      <w:start w:val="2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9F17EB7"/>
    <w:multiLevelType w:val="multilevel"/>
    <w:tmpl w:val="2BA0FD22"/>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BF32295"/>
    <w:multiLevelType w:val="hybridMultilevel"/>
    <w:tmpl w:val="429CD856"/>
    <w:lvl w:ilvl="0" w:tplc="CCFA127A">
      <w:numFmt w:val="bullet"/>
      <w:lvlText w:val="-"/>
      <w:lvlJc w:val="left"/>
      <w:pPr>
        <w:ind w:left="1440" w:hanging="360"/>
      </w:pPr>
      <w:rPr>
        <w:rFonts w:ascii="Times New Roman" w:eastAsia="Arial"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6D9C47D8"/>
    <w:multiLevelType w:val="multilevel"/>
    <w:tmpl w:val="EC66A6C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F316C51"/>
    <w:multiLevelType w:val="multilevel"/>
    <w:tmpl w:val="566A76CA"/>
    <w:lvl w:ilvl="0">
      <w:start w:val="1"/>
      <w:numFmt w:val="decimal"/>
      <w:lvlText w:val="%1."/>
      <w:lvlJc w:val="left"/>
      <w:pPr>
        <w:ind w:left="720" w:hanging="360"/>
      </w:pPr>
      <w:rPr>
        <w:rFonts w:hint="default"/>
      </w:rPr>
    </w:lvl>
    <w:lvl w:ilvl="1">
      <w:start w:val="1"/>
      <w:numFmt w:val="lowerLetter"/>
      <w:lvlText w:val="%2)"/>
      <w:lvlJc w:val="left"/>
      <w:pPr>
        <w:ind w:left="927" w:hanging="360"/>
      </w:pPr>
      <w:rPr>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720B5E07"/>
    <w:multiLevelType w:val="multilevel"/>
    <w:tmpl w:val="09F43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2492160"/>
    <w:multiLevelType w:val="hybridMultilevel"/>
    <w:tmpl w:val="3740F4E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3986FC8"/>
    <w:multiLevelType w:val="hybridMultilevel"/>
    <w:tmpl w:val="A51A85CE"/>
    <w:lvl w:ilvl="0" w:tplc="E1840882">
      <w:numFmt w:val="bullet"/>
      <w:lvlText w:val="-"/>
      <w:lvlJc w:val="left"/>
      <w:pPr>
        <w:ind w:left="1068" w:hanging="360"/>
      </w:pPr>
      <w:rPr>
        <w:rFonts w:ascii="Arial" w:eastAsia="Arial" w:hAnsi="Arial" w:cs="Aria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4" w15:restartNumberingAfterBreak="0">
    <w:nsid w:val="75883587"/>
    <w:multiLevelType w:val="multilevel"/>
    <w:tmpl w:val="57886BC2"/>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67A7C23"/>
    <w:multiLevelType w:val="multilevel"/>
    <w:tmpl w:val="489C0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A56199B"/>
    <w:multiLevelType w:val="multilevel"/>
    <w:tmpl w:val="1CDA5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C1D2E80"/>
    <w:multiLevelType w:val="hybridMultilevel"/>
    <w:tmpl w:val="90662C3A"/>
    <w:lvl w:ilvl="0" w:tplc="2FB223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25"/>
  </w:num>
  <w:num w:numId="2">
    <w:abstractNumId w:val="6"/>
  </w:num>
  <w:num w:numId="3">
    <w:abstractNumId w:val="42"/>
  </w:num>
  <w:num w:numId="4">
    <w:abstractNumId w:val="11"/>
  </w:num>
  <w:num w:numId="5">
    <w:abstractNumId w:val="50"/>
  </w:num>
  <w:num w:numId="6">
    <w:abstractNumId w:val="44"/>
  </w:num>
  <w:num w:numId="7">
    <w:abstractNumId w:val="28"/>
  </w:num>
  <w:num w:numId="8">
    <w:abstractNumId w:val="5"/>
  </w:num>
  <w:num w:numId="9">
    <w:abstractNumId w:val="15"/>
  </w:num>
  <w:num w:numId="10">
    <w:abstractNumId w:val="0"/>
  </w:num>
  <w:num w:numId="11">
    <w:abstractNumId w:val="8"/>
  </w:num>
  <w:num w:numId="12">
    <w:abstractNumId w:val="18"/>
  </w:num>
  <w:num w:numId="13">
    <w:abstractNumId w:val="38"/>
  </w:num>
  <w:num w:numId="14">
    <w:abstractNumId w:val="35"/>
  </w:num>
  <w:num w:numId="15">
    <w:abstractNumId w:val="20"/>
  </w:num>
  <w:num w:numId="16">
    <w:abstractNumId w:val="52"/>
  </w:num>
  <w:num w:numId="17">
    <w:abstractNumId w:val="29"/>
  </w:num>
  <w:num w:numId="18">
    <w:abstractNumId w:val="3"/>
  </w:num>
  <w:num w:numId="19">
    <w:abstractNumId w:val="19"/>
  </w:num>
  <w:num w:numId="20">
    <w:abstractNumId w:val="9"/>
  </w:num>
  <w:num w:numId="21">
    <w:abstractNumId w:val="1"/>
  </w:num>
  <w:num w:numId="22">
    <w:abstractNumId w:val="30"/>
  </w:num>
  <w:num w:numId="23">
    <w:abstractNumId w:val="23"/>
  </w:num>
  <w:num w:numId="24">
    <w:abstractNumId w:val="43"/>
  </w:num>
  <w:num w:numId="25">
    <w:abstractNumId w:val="24"/>
  </w:num>
  <w:num w:numId="26">
    <w:abstractNumId w:val="49"/>
  </w:num>
  <w:num w:numId="27">
    <w:abstractNumId w:val="14"/>
  </w:num>
  <w:num w:numId="28">
    <w:abstractNumId w:val="41"/>
  </w:num>
  <w:num w:numId="29">
    <w:abstractNumId w:val="40"/>
  </w:num>
  <w:num w:numId="30">
    <w:abstractNumId w:val="13"/>
  </w:num>
  <w:num w:numId="31">
    <w:abstractNumId w:val="46"/>
  </w:num>
  <w:num w:numId="32">
    <w:abstractNumId w:val="31"/>
  </w:num>
  <w:num w:numId="33">
    <w:abstractNumId w:val="34"/>
  </w:num>
  <w:num w:numId="34">
    <w:abstractNumId w:val="33"/>
  </w:num>
  <w:num w:numId="35">
    <w:abstractNumId w:val="17"/>
  </w:num>
  <w:num w:numId="36">
    <w:abstractNumId w:val="47"/>
  </w:num>
  <w:num w:numId="37">
    <w:abstractNumId w:val="16"/>
  </w:num>
  <w:num w:numId="38">
    <w:abstractNumId w:val="54"/>
  </w:num>
  <w:num w:numId="39">
    <w:abstractNumId w:val="4"/>
  </w:num>
  <w:num w:numId="40">
    <w:abstractNumId w:val="37"/>
  </w:num>
  <w:num w:numId="41">
    <w:abstractNumId w:val="48"/>
  </w:num>
  <w:num w:numId="42">
    <w:abstractNumId w:val="53"/>
  </w:num>
  <w:num w:numId="43">
    <w:abstractNumId w:val="57"/>
  </w:num>
  <w:num w:numId="44">
    <w:abstractNumId w:val="51"/>
  </w:num>
  <w:num w:numId="45">
    <w:abstractNumId w:val="56"/>
  </w:num>
  <w:num w:numId="46">
    <w:abstractNumId w:val="10"/>
  </w:num>
  <w:num w:numId="47">
    <w:abstractNumId w:val="32"/>
  </w:num>
  <w:num w:numId="48">
    <w:abstractNumId w:val="27"/>
  </w:num>
  <w:num w:numId="49">
    <w:abstractNumId w:val="36"/>
  </w:num>
  <w:num w:numId="50">
    <w:abstractNumId w:val="7"/>
  </w:num>
  <w:num w:numId="51">
    <w:abstractNumId w:val="55"/>
  </w:num>
  <w:num w:numId="52">
    <w:abstractNumId w:val="22"/>
  </w:num>
  <w:num w:numId="53">
    <w:abstractNumId w:val="39"/>
  </w:num>
  <w:num w:numId="54">
    <w:abstractNumId w:val="26"/>
  </w:num>
  <w:num w:numId="55">
    <w:abstractNumId w:val="21"/>
  </w:num>
  <w:num w:numId="56">
    <w:abstractNumId w:val="45"/>
  </w:num>
  <w:num w:numId="57">
    <w:abstractNumId w:val="2"/>
  </w:num>
  <w:num w:numId="58">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CO"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F9"/>
    <w:rsid w:val="000010A3"/>
    <w:rsid w:val="000042B8"/>
    <w:rsid w:val="00005687"/>
    <w:rsid w:val="00006852"/>
    <w:rsid w:val="00007FD6"/>
    <w:rsid w:val="00010B54"/>
    <w:rsid w:val="00010CC2"/>
    <w:rsid w:val="00011F6A"/>
    <w:rsid w:val="00012571"/>
    <w:rsid w:val="00013892"/>
    <w:rsid w:val="00014084"/>
    <w:rsid w:val="00016689"/>
    <w:rsid w:val="00016FB7"/>
    <w:rsid w:val="00020DEA"/>
    <w:rsid w:val="000227AA"/>
    <w:rsid w:val="0002334D"/>
    <w:rsid w:val="00023981"/>
    <w:rsid w:val="00026360"/>
    <w:rsid w:val="00026803"/>
    <w:rsid w:val="00032D32"/>
    <w:rsid w:val="00033CC5"/>
    <w:rsid w:val="00034E23"/>
    <w:rsid w:val="000361DB"/>
    <w:rsid w:val="00037023"/>
    <w:rsid w:val="000379D9"/>
    <w:rsid w:val="00040407"/>
    <w:rsid w:val="00040A87"/>
    <w:rsid w:val="00040D02"/>
    <w:rsid w:val="00041F90"/>
    <w:rsid w:val="00043447"/>
    <w:rsid w:val="00043520"/>
    <w:rsid w:val="00043AA6"/>
    <w:rsid w:val="00043B6F"/>
    <w:rsid w:val="0004405A"/>
    <w:rsid w:val="00044A2C"/>
    <w:rsid w:val="00044FC1"/>
    <w:rsid w:val="00045D78"/>
    <w:rsid w:val="000465C6"/>
    <w:rsid w:val="00050729"/>
    <w:rsid w:val="00050748"/>
    <w:rsid w:val="00051327"/>
    <w:rsid w:val="00051FF0"/>
    <w:rsid w:val="000520CD"/>
    <w:rsid w:val="00054A1F"/>
    <w:rsid w:val="00056119"/>
    <w:rsid w:val="0005630E"/>
    <w:rsid w:val="0005748C"/>
    <w:rsid w:val="00057706"/>
    <w:rsid w:val="00060521"/>
    <w:rsid w:val="0006097E"/>
    <w:rsid w:val="000615C9"/>
    <w:rsid w:val="00063415"/>
    <w:rsid w:val="000640AC"/>
    <w:rsid w:val="00065178"/>
    <w:rsid w:val="00066893"/>
    <w:rsid w:val="000671C9"/>
    <w:rsid w:val="00071271"/>
    <w:rsid w:val="00073315"/>
    <w:rsid w:val="00074743"/>
    <w:rsid w:val="00074D23"/>
    <w:rsid w:val="00075254"/>
    <w:rsid w:val="00075E9D"/>
    <w:rsid w:val="00077300"/>
    <w:rsid w:val="000800C0"/>
    <w:rsid w:val="000835BB"/>
    <w:rsid w:val="00083AF4"/>
    <w:rsid w:val="00085075"/>
    <w:rsid w:val="0008666E"/>
    <w:rsid w:val="00086A1C"/>
    <w:rsid w:val="0008714E"/>
    <w:rsid w:val="00087F87"/>
    <w:rsid w:val="00090CFA"/>
    <w:rsid w:val="00091368"/>
    <w:rsid w:val="00091A03"/>
    <w:rsid w:val="00094B9C"/>
    <w:rsid w:val="00094C99"/>
    <w:rsid w:val="00095664"/>
    <w:rsid w:val="0009646A"/>
    <w:rsid w:val="000968E5"/>
    <w:rsid w:val="00097846"/>
    <w:rsid w:val="000A127E"/>
    <w:rsid w:val="000A1916"/>
    <w:rsid w:val="000A24FA"/>
    <w:rsid w:val="000A28E4"/>
    <w:rsid w:val="000A42BE"/>
    <w:rsid w:val="000A569F"/>
    <w:rsid w:val="000A6558"/>
    <w:rsid w:val="000A6F7C"/>
    <w:rsid w:val="000B1C44"/>
    <w:rsid w:val="000B2FBE"/>
    <w:rsid w:val="000B50A3"/>
    <w:rsid w:val="000B50A8"/>
    <w:rsid w:val="000B57E0"/>
    <w:rsid w:val="000B691F"/>
    <w:rsid w:val="000C0C63"/>
    <w:rsid w:val="000C20E0"/>
    <w:rsid w:val="000C214E"/>
    <w:rsid w:val="000C254C"/>
    <w:rsid w:val="000C35CE"/>
    <w:rsid w:val="000C3797"/>
    <w:rsid w:val="000C42DD"/>
    <w:rsid w:val="000C438C"/>
    <w:rsid w:val="000C4548"/>
    <w:rsid w:val="000C4809"/>
    <w:rsid w:val="000C56E2"/>
    <w:rsid w:val="000D0C8B"/>
    <w:rsid w:val="000D17D2"/>
    <w:rsid w:val="000D1BF3"/>
    <w:rsid w:val="000D32BF"/>
    <w:rsid w:val="000D3329"/>
    <w:rsid w:val="000D4BFA"/>
    <w:rsid w:val="000D6BE5"/>
    <w:rsid w:val="000D7778"/>
    <w:rsid w:val="000E0AA0"/>
    <w:rsid w:val="000E0FE8"/>
    <w:rsid w:val="000E1A2A"/>
    <w:rsid w:val="000E1E0D"/>
    <w:rsid w:val="000E7F1F"/>
    <w:rsid w:val="000F195B"/>
    <w:rsid w:val="000F2675"/>
    <w:rsid w:val="000F5276"/>
    <w:rsid w:val="000F60B1"/>
    <w:rsid w:val="000F73BA"/>
    <w:rsid w:val="000F7C63"/>
    <w:rsid w:val="000F7F49"/>
    <w:rsid w:val="00101487"/>
    <w:rsid w:val="001020E1"/>
    <w:rsid w:val="0010340E"/>
    <w:rsid w:val="001034F8"/>
    <w:rsid w:val="00106360"/>
    <w:rsid w:val="00106768"/>
    <w:rsid w:val="0011129B"/>
    <w:rsid w:val="00111580"/>
    <w:rsid w:val="001125C6"/>
    <w:rsid w:val="001127BF"/>
    <w:rsid w:val="00114F87"/>
    <w:rsid w:val="00115EBF"/>
    <w:rsid w:val="001179D6"/>
    <w:rsid w:val="00120BDF"/>
    <w:rsid w:val="00121030"/>
    <w:rsid w:val="001240C7"/>
    <w:rsid w:val="00124B78"/>
    <w:rsid w:val="00126E79"/>
    <w:rsid w:val="001270E7"/>
    <w:rsid w:val="00127444"/>
    <w:rsid w:val="00127ECC"/>
    <w:rsid w:val="00127FD9"/>
    <w:rsid w:val="00132092"/>
    <w:rsid w:val="001325F7"/>
    <w:rsid w:val="0013399E"/>
    <w:rsid w:val="00133F37"/>
    <w:rsid w:val="001425BC"/>
    <w:rsid w:val="001454BC"/>
    <w:rsid w:val="001459B1"/>
    <w:rsid w:val="00146FB4"/>
    <w:rsid w:val="001479A0"/>
    <w:rsid w:val="00150E1F"/>
    <w:rsid w:val="001510EB"/>
    <w:rsid w:val="0015178C"/>
    <w:rsid w:val="00155FE2"/>
    <w:rsid w:val="001561E6"/>
    <w:rsid w:val="0015632C"/>
    <w:rsid w:val="00156D5E"/>
    <w:rsid w:val="00164D08"/>
    <w:rsid w:val="001666B2"/>
    <w:rsid w:val="00166F0E"/>
    <w:rsid w:val="001670E7"/>
    <w:rsid w:val="001700D6"/>
    <w:rsid w:val="00171AF6"/>
    <w:rsid w:val="00172CD2"/>
    <w:rsid w:val="00173135"/>
    <w:rsid w:val="00173667"/>
    <w:rsid w:val="00173D29"/>
    <w:rsid w:val="00174EC0"/>
    <w:rsid w:val="0017533A"/>
    <w:rsid w:val="001764ED"/>
    <w:rsid w:val="00177348"/>
    <w:rsid w:val="001773DF"/>
    <w:rsid w:val="00181184"/>
    <w:rsid w:val="001818D3"/>
    <w:rsid w:val="00182C13"/>
    <w:rsid w:val="00183A9C"/>
    <w:rsid w:val="00183ADF"/>
    <w:rsid w:val="00187C9F"/>
    <w:rsid w:val="00190FDD"/>
    <w:rsid w:val="0019176F"/>
    <w:rsid w:val="00191952"/>
    <w:rsid w:val="00194480"/>
    <w:rsid w:val="0019476F"/>
    <w:rsid w:val="00195875"/>
    <w:rsid w:val="00197F7B"/>
    <w:rsid w:val="001A1752"/>
    <w:rsid w:val="001A2353"/>
    <w:rsid w:val="001A266D"/>
    <w:rsid w:val="001A32E9"/>
    <w:rsid w:val="001A3E01"/>
    <w:rsid w:val="001A63A7"/>
    <w:rsid w:val="001A64E6"/>
    <w:rsid w:val="001A7044"/>
    <w:rsid w:val="001B23B3"/>
    <w:rsid w:val="001B309B"/>
    <w:rsid w:val="001B5BE0"/>
    <w:rsid w:val="001B65E9"/>
    <w:rsid w:val="001B77B0"/>
    <w:rsid w:val="001B7DFF"/>
    <w:rsid w:val="001C39DA"/>
    <w:rsid w:val="001C560C"/>
    <w:rsid w:val="001C751E"/>
    <w:rsid w:val="001D0144"/>
    <w:rsid w:val="001D1588"/>
    <w:rsid w:val="001D231C"/>
    <w:rsid w:val="001D3253"/>
    <w:rsid w:val="001D34AB"/>
    <w:rsid w:val="001D447F"/>
    <w:rsid w:val="001D450F"/>
    <w:rsid w:val="001D50F6"/>
    <w:rsid w:val="001E2598"/>
    <w:rsid w:val="001E3023"/>
    <w:rsid w:val="001E31E1"/>
    <w:rsid w:val="001E3381"/>
    <w:rsid w:val="001E4D19"/>
    <w:rsid w:val="001E51C7"/>
    <w:rsid w:val="001E5E8D"/>
    <w:rsid w:val="001E6220"/>
    <w:rsid w:val="001E6793"/>
    <w:rsid w:val="001F03E9"/>
    <w:rsid w:val="001F0D65"/>
    <w:rsid w:val="001F2142"/>
    <w:rsid w:val="001F40EA"/>
    <w:rsid w:val="001F493A"/>
    <w:rsid w:val="001F4B2F"/>
    <w:rsid w:val="001F4D21"/>
    <w:rsid w:val="001F541A"/>
    <w:rsid w:val="001F57FF"/>
    <w:rsid w:val="001F7828"/>
    <w:rsid w:val="00200790"/>
    <w:rsid w:val="0020209F"/>
    <w:rsid w:val="00202E7A"/>
    <w:rsid w:val="00203759"/>
    <w:rsid w:val="00204E53"/>
    <w:rsid w:val="00205CCD"/>
    <w:rsid w:val="0020609D"/>
    <w:rsid w:val="00206B30"/>
    <w:rsid w:val="00206E2B"/>
    <w:rsid w:val="00207FCE"/>
    <w:rsid w:val="0021047D"/>
    <w:rsid w:val="002109A6"/>
    <w:rsid w:val="0021252D"/>
    <w:rsid w:val="00215F8C"/>
    <w:rsid w:val="002207A1"/>
    <w:rsid w:val="00221AEE"/>
    <w:rsid w:val="00221E07"/>
    <w:rsid w:val="00222DF6"/>
    <w:rsid w:val="00223695"/>
    <w:rsid w:val="0022479D"/>
    <w:rsid w:val="00226286"/>
    <w:rsid w:val="00230AE5"/>
    <w:rsid w:val="0023362A"/>
    <w:rsid w:val="00235535"/>
    <w:rsid w:val="00236A23"/>
    <w:rsid w:val="00240936"/>
    <w:rsid w:val="00241844"/>
    <w:rsid w:val="00242B90"/>
    <w:rsid w:val="00243901"/>
    <w:rsid w:val="00244712"/>
    <w:rsid w:val="00245026"/>
    <w:rsid w:val="002452D8"/>
    <w:rsid w:val="00247133"/>
    <w:rsid w:val="00250D9F"/>
    <w:rsid w:val="00251EF7"/>
    <w:rsid w:val="00251FB0"/>
    <w:rsid w:val="002534F0"/>
    <w:rsid w:val="00255D80"/>
    <w:rsid w:val="00256DAC"/>
    <w:rsid w:val="002578B5"/>
    <w:rsid w:val="00260D20"/>
    <w:rsid w:val="00261271"/>
    <w:rsid w:val="00263023"/>
    <w:rsid w:val="00265364"/>
    <w:rsid w:val="0026722B"/>
    <w:rsid w:val="002679A1"/>
    <w:rsid w:val="00272060"/>
    <w:rsid w:val="00275EC3"/>
    <w:rsid w:val="00276055"/>
    <w:rsid w:val="00276EAF"/>
    <w:rsid w:val="00281078"/>
    <w:rsid w:val="00281C00"/>
    <w:rsid w:val="002827D1"/>
    <w:rsid w:val="0028554C"/>
    <w:rsid w:val="00286317"/>
    <w:rsid w:val="002871E8"/>
    <w:rsid w:val="002877DB"/>
    <w:rsid w:val="002878F3"/>
    <w:rsid w:val="00287990"/>
    <w:rsid w:val="00291832"/>
    <w:rsid w:val="00291B9D"/>
    <w:rsid w:val="00294AFD"/>
    <w:rsid w:val="0029507A"/>
    <w:rsid w:val="00295204"/>
    <w:rsid w:val="00295435"/>
    <w:rsid w:val="002959E5"/>
    <w:rsid w:val="00297719"/>
    <w:rsid w:val="002978A3"/>
    <w:rsid w:val="002A07EF"/>
    <w:rsid w:val="002A286D"/>
    <w:rsid w:val="002A2B17"/>
    <w:rsid w:val="002A2D1F"/>
    <w:rsid w:val="002A465C"/>
    <w:rsid w:val="002A53E3"/>
    <w:rsid w:val="002A603E"/>
    <w:rsid w:val="002A7B45"/>
    <w:rsid w:val="002A7BF9"/>
    <w:rsid w:val="002B14BC"/>
    <w:rsid w:val="002B2385"/>
    <w:rsid w:val="002B3AF8"/>
    <w:rsid w:val="002B418A"/>
    <w:rsid w:val="002B43E3"/>
    <w:rsid w:val="002B4EEC"/>
    <w:rsid w:val="002B5782"/>
    <w:rsid w:val="002B627D"/>
    <w:rsid w:val="002B7905"/>
    <w:rsid w:val="002B7F3E"/>
    <w:rsid w:val="002C1471"/>
    <w:rsid w:val="002C28EE"/>
    <w:rsid w:val="002C2EB7"/>
    <w:rsid w:val="002C4DFC"/>
    <w:rsid w:val="002C529C"/>
    <w:rsid w:val="002C5A0B"/>
    <w:rsid w:val="002C5F35"/>
    <w:rsid w:val="002C6752"/>
    <w:rsid w:val="002D0599"/>
    <w:rsid w:val="002D07E9"/>
    <w:rsid w:val="002D1A9A"/>
    <w:rsid w:val="002D2825"/>
    <w:rsid w:val="002D2AEE"/>
    <w:rsid w:val="002D3554"/>
    <w:rsid w:val="002D3657"/>
    <w:rsid w:val="002D459C"/>
    <w:rsid w:val="002D4A74"/>
    <w:rsid w:val="002D6177"/>
    <w:rsid w:val="002E0744"/>
    <w:rsid w:val="002E0C1C"/>
    <w:rsid w:val="002E18FA"/>
    <w:rsid w:val="002E2B96"/>
    <w:rsid w:val="002E3675"/>
    <w:rsid w:val="002E39EC"/>
    <w:rsid w:val="002E3E5E"/>
    <w:rsid w:val="002E540A"/>
    <w:rsid w:val="002E62CF"/>
    <w:rsid w:val="002E6F1E"/>
    <w:rsid w:val="002E7DCD"/>
    <w:rsid w:val="002F2851"/>
    <w:rsid w:val="002F2D14"/>
    <w:rsid w:val="002F470F"/>
    <w:rsid w:val="002F47EC"/>
    <w:rsid w:val="002F6787"/>
    <w:rsid w:val="002F6BF4"/>
    <w:rsid w:val="00301478"/>
    <w:rsid w:val="00301A96"/>
    <w:rsid w:val="00302517"/>
    <w:rsid w:val="00304443"/>
    <w:rsid w:val="00304B2A"/>
    <w:rsid w:val="00306ACC"/>
    <w:rsid w:val="0031010F"/>
    <w:rsid w:val="003107CE"/>
    <w:rsid w:val="0031578D"/>
    <w:rsid w:val="00315981"/>
    <w:rsid w:val="00316497"/>
    <w:rsid w:val="00316FF3"/>
    <w:rsid w:val="00317A2F"/>
    <w:rsid w:val="00317C27"/>
    <w:rsid w:val="00320CDD"/>
    <w:rsid w:val="003213C7"/>
    <w:rsid w:val="00321BAB"/>
    <w:rsid w:val="00321E8D"/>
    <w:rsid w:val="003222DC"/>
    <w:rsid w:val="00322938"/>
    <w:rsid w:val="00322A8F"/>
    <w:rsid w:val="0032687C"/>
    <w:rsid w:val="00327557"/>
    <w:rsid w:val="0033143C"/>
    <w:rsid w:val="0033152C"/>
    <w:rsid w:val="003320E7"/>
    <w:rsid w:val="00333358"/>
    <w:rsid w:val="003333F7"/>
    <w:rsid w:val="003335A8"/>
    <w:rsid w:val="00333F33"/>
    <w:rsid w:val="00334D54"/>
    <w:rsid w:val="00335C3C"/>
    <w:rsid w:val="00336554"/>
    <w:rsid w:val="0033694F"/>
    <w:rsid w:val="00336DE9"/>
    <w:rsid w:val="00337B1A"/>
    <w:rsid w:val="0034048B"/>
    <w:rsid w:val="0034066B"/>
    <w:rsid w:val="00340AA4"/>
    <w:rsid w:val="00340ADC"/>
    <w:rsid w:val="0034118E"/>
    <w:rsid w:val="0034181F"/>
    <w:rsid w:val="00343719"/>
    <w:rsid w:val="00343D3C"/>
    <w:rsid w:val="00344AE6"/>
    <w:rsid w:val="00344ECC"/>
    <w:rsid w:val="00346C60"/>
    <w:rsid w:val="00346E49"/>
    <w:rsid w:val="003473EA"/>
    <w:rsid w:val="003527EB"/>
    <w:rsid w:val="00353BDE"/>
    <w:rsid w:val="003566C8"/>
    <w:rsid w:val="00357E66"/>
    <w:rsid w:val="00362ACC"/>
    <w:rsid w:val="00362BD5"/>
    <w:rsid w:val="00363A43"/>
    <w:rsid w:val="00363D68"/>
    <w:rsid w:val="00364B83"/>
    <w:rsid w:val="00364E19"/>
    <w:rsid w:val="00365752"/>
    <w:rsid w:val="00366987"/>
    <w:rsid w:val="00366A5E"/>
    <w:rsid w:val="0037016C"/>
    <w:rsid w:val="003706D8"/>
    <w:rsid w:val="00370824"/>
    <w:rsid w:val="003727C4"/>
    <w:rsid w:val="00373EE5"/>
    <w:rsid w:val="00374472"/>
    <w:rsid w:val="003765F8"/>
    <w:rsid w:val="00376B9D"/>
    <w:rsid w:val="00377D3C"/>
    <w:rsid w:val="003825D7"/>
    <w:rsid w:val="0038346B"/>
    <w:rsid w:val="003856F0"/>
    <w:rsid w:val="00385838"/>
    <w:rsid w:val="00385E53"/>
    <w:rsid w:val="00386AFB"/>
    <w:rsid w:val="00386C5C"/>
    <w:rsid w:val="00386D97"/>
    <w:rsid w:val="0039061C"/>
    <w:rsid w:val="00394147"/>
    <w:rsid w:val="00394B88"/>
    <w:rsid w:val="0039513E"/>
    <w:rsid w:val="00396C70"/>
    <w:rsid w:val="003A2182"/>
    <w:rsid w:val="003A3238"/>
    <w:rsid w:val="003A4D8E"/>
    <w:rsid w:val="003A5BA3"/>
    <w:rsid w:val="003A607B"/>
    <w:rsid w:val="003B053F"/>
    <w:rsid w:val="003B0626"/>
    <w:rsid w:val="003B1059"/>
    <w:rsid w:val="003B116A"/>
    <w:rsid w:val="003B2259"/>
    <w:rsid w:val="003B3160"/>
    <w:rsid w:val="003B3E0E"/>
    <w:rsid w:val="003B488C"/>
    <w:rsid w:val="003B629C"/>
    <w:rsid w:val="003B635E"/>
    <w:rsid w:val="003B6D4B"/>
    <w:rsid w:val="003B7838"/>
    <w:rsid w:val="003C0142"/>
    <w:rsid w:val="003C0B1A"/>
    <w:rsid w:val="003C197F"/>
    <w:rsid w:val="003C2238"/>
    <w:rsid w:val="003C48F0"/>
    <w:rsid w:val="003C588F"/>
    <w:rsid w:val="003C64A7"/>
    <w:rsid w:val="003C6AA8"/>
    <w:rsid w:val="003D0890"/>
    <w:rsid w:val="003D16FB"/>
    <w:rsid w:val="003D19E0"/>
    <w:rsid w:val="003D2A12"/>
    <w:rsid w:val="003D2D48"/>
    <w:rsid w:val="003D39A5"/>
    <w:rsid w:val="003D42BC"/>
    <w:rsid w:val="003D58AB"/>
    <w:rsid w:val="003D6226"/>
    <w:rsid w:val="003D76F0"/>
    <w:rsid w:val="003E082E"/>
    <w:rsid w:val="003E19DD"/>
    <w:rsid w:val="003E2E1F"/>
    <w:rsid w:val="003E40BF"/>
    <w:rsid w:val="003E41D7"/>
    <w:rsid w:val="003E736E"/>
    <w:rsid w:val="003E7AC0"/>
    <w:rsid w:val="003F163E"/>
    <w:rsid w:val="003F37B8"/>
    <w:rsid w:val="003F5686"/>
    <w:rsid w:val="00401F85"/>
    <w:rsid w:val="00404F72"/>
    <w:rsid w:val="00405E37"/>
    <w:rsid w:val="0040694B"/>
    <w:rsid w:val="00406A57"/>
    <w:rsid w:val="00407DFA"/>
    <w:rsid w:val="0041034F"/>
    <w:rsid w:val="004104B4"/>
    <w:rsid w:val="00410BEB"/>
    <w:rsid w:val="004124AA"/>
    <w:rsid w:val="00413089"/>
    <w:rsid w:val="004133E6"/>
    <w:rsid w:val="00415AC4"/>
    <w:rsid w:val="004165E7"/>
    <w:rsid w:val="004220FA"/>
    <w:rsid w:val="00422512"/>
    <w:rsid w:val="0042314F"/>
    <w:rsid w:val="00423CC2"/>
    <w:rsid w:val="00425C48"/>
    <w:rsid w:val="004269BE"/>
    <w:rsid w:val="00427BC1"/>
    <w:rsid w:val="004318CC"/>
    <w:rsid w:val="004322C0"/>
    <w:rsid w:val="004329B6"/>
    <w:rsid w:val="00434C4A"/>
    <w:rsid w:val="004353C5"/>
    <w:rsid w:val="00435A03"/>
    <w:rsid w:val="00436CFA"/>
    <w:rsid w:val="00436D29"/>
    <w:rsid w:val="00436DC3"/>
    <w:rsid w:val="00437CF7"/>
    <w:rsid w:val="0044314E"/>
    <w:rsid w:val="00443DE3"/>
    <w:rsid w:val="0044598A"/>
    <w:rsid w:val="00445D97"/>
    <w:rsid w:val="00450DA1"/>
    <w:rsid w:val="004522D0"/>
    <w:rsid w:val="00454336"/>
    <w:rsid w:val="00454A0E"/>
    <w:rsid w:val="004556B2"/>
    <w:rsid w:val="004572D3"/>
    <w:rsid w:val="0046155C"/>
    <w:rsid w:val="00462A98"/>
    <w:rsid w:val="00462FCF"/>
    <w:rsid w:val="004652F5"/>
    <w:rsid w:val="0046535E"/>
    <w:rsid w:val="00471845"/>
    <w:rsid w:val="00472C62"/>
    <w:rsid w:val="0047343C"/>
    <w:rsid w:val="00475204"/>
    <w:rsid w:val="004803CB"/>
    <w:rsid w:val="00480558"/>
    <w:rsid w:val="00480AD4"/>
    <w:rsid w:val="00480F3D"/>
    <w:rsid w:val="00482270"/>
    <w:rsid w:val="00482736"/>
    <w:rsid w:val="00482985"/>
    <w:rsid w:val="00483442"/>
    <w:rsid w:val="00483EAA"/>
    <w:rsid w:val="004842C7"/>
    <w:rsid w:val="004845C0"/>
    <w:rsid w:val="00486FE6"/>
    <w:rsid w:val="00492603"/>
    <w:rsid w:val="00492DC3"/>
    <w:rsid w:val="00494129"/>
    <w:rsid w:val="004A3EC5"/>
    <w:rsid w:val="004A468E"/>
    <w:rsid w:val="004A4C9F"/>
    <w:rsid w:val="004A5B48"/>
    <w:rsid w:val="004A6344"/>
    <w:rsid w:val="004A6753"/>
    <w:rsid w:val="004B06F9"/>
    <w:rsid w:val="004B1E97"/>
    <w:rsid w:val="004B2AC7"/>
    <w:rsid w:val="004B4F6B"/>
    <w:rsid w:val="004B51B8"/>
    <w:rsid w:val="004B5742"/>
    <w:rsid w:val="004C0BDF"/>
    <w:rsid w:val="004C20AC"/>
    <w:rsid w:val="004C28A9"/>
    <w:rsid w:val="004C2DFD"/>
    <w:rsid w:val="004C574D"/>
    <w:rsid w:val="004C5FBD"/>
    <w:rsid w:val="004C6148"/>
    <w:rsid w:val="004C73C9"/>
    <w:rsid w:val="004D085C"/>
    <w:rsid w:val="004D0E64"/>
    <w:rsid w:val="004D1240"/>
    <w:rsid w:val="004D1BAD"/>
    <w:rsid w:val="004D293A"/>
    <w:rsid w:val="004D2FEF"/>
    <w:rsid w:val="004D37CD"/>
    <w:rsid w:val="004D504D"/>
    <w:rsid w:val="004D6E8A"/>
    <w:rsid w:val="004D7FA2"/>
    <w:rsid w:val="004E188B"/>
    <w:rsid w:val="004E3968"/>
    <w:rsid w:val="004E3AAB"/>
    <w:rsid w:val="004E4BD6"/>
    <w:rsid w:val="004E4DA0"/>
    <w:rsid w:val="004E5C1B"/>
    <w:rsid w:val="004E65FE"/>
    <w:rsid w:val="004E6EA6"/>
    <w:rsid w:val="004E78BB"/>
    <w:rsid w:val="004F02B8"/>
    <w:rsid w:val="004F1640"/>
    <w:rsid w:val="004F2AB1"/>
    <w:rsid w:val="004F3ACA"/>
    <w:rsid w:val="004F4043"/>
    <w:rsid w:val="004F5437"/>
    <w:rsid w:val="004F57B1"/>
    <w:rsid w:val="004F7AA8"/>
    <w:rsid w:val="004F7F78"/>
    <w:rsid w:val="00501346"/>
    <w:rsid w:val="00502432"/>
    <w:rsid w:val="00502BFC"/>
    <w:rsid w:val="0050458E"/>
    <w:rsid w:val="0051012F"/>
    <w:rsid w:val="00510932"/>
    <w:rsid w:val="0051401E"/>
    <w:rsid w:val="0051433A"/>
    <w:rsid w:val="00514A71"/>
    <w:rsid w:val="00515792"/>
    <w:rsid w:val="00517733"/>
    <w:rsid w:val="00520953"/>
    <w:rsid w:val="00521FE4"/>
    <w:rsid w:val="00522476"/>
    <w:rsid w:val="00522B8D"/>
    <w:rsid w:val="00522CEF"/>
    <w:rsid w:val="005238EE"/>
    <w:rsid w:val="00524A77"/>
    <w:rsid w:val="005250A4"/>
    <w:rsid w:val="0052614F"/>
    <w:rsid w:val="005261F8"/>
    <w:rsid w:val="00527C2E"/>
    <w:rsid w:val="00534D0A"/>
    <w:rsid w:val="005353E1"/>
    <w:rsid w:val="00535AC2"/>
    <w:rsid w:val="00535B66"/>
    <w:rsid w:val="00536ACB"/>
    <w:rsid w:val="00541367"/>
    <w:rsid w:val="005416A4"/>
    <w:rsid w:val="00545242"/>
    <w:rsid w:val="00546508"/>
    <w:rsid w:val="0055429A"/>
    <w:rsid w:val="00557672"/>
    <w:rsid w:val="00557DF9"/>
    <w:rsid w:val="00557E76"/>
    <w:rsid w:val="00557EED"/>
    <w:rsid w:val="005601C5"/>
    <w:rsid w:val="005629C3"/>
    <w:rsid w:val="00564011"/>
    <w:rsid w:val="0056739E"/>
    <w:rsid w:val="00567A22"/>
    <w:rsid w:val="0057069E"/>
    <w:rsid w:val="00572CDA"/>
    <w:rsid w:val="005733A3"/>
    <w:rsid w:val="0057343E"/>
    <w:rsid w:val="005738C4"/>
    <w:rsid w:val="00573B5D"/>
    <w:rsid w:val="005740EA"/>
    <w:rsid w:val="00575B99"/>
    <w:rsid w:val="0057606E"/>
    <w:rsid w:val="00576B6B"/>
    <w:rsid w:val="00576E7B"/>
    <w:rsid w:val="0057759E"/>
    <w:rsid w:val="00577CD2"/>
    <w:rsid w:val="00580BF7"/>
    <w:rsid w:val="00581BD8"/>
    <w:rsid w:val="00583255"/>
    <w:rsid w:val="005857F3"/>
    <w:rsid w:val="00586627"/>
    <w:rsid w:val="005866A1"/>
    <w:rsid w:val="005878C2"/>
    <w:rsid w:val="00591E38"/>
    <w:rsid w:val="00594F13"/>
    <w:rsid w:val="00595FBF"/>
    <w:rsid w:val="00597A2F"/>
    <w:rsid w:val="00597D35"/>
    <w:rsid w:val="005A0602"/>
    <w:rsid w:val="005A0C89"/>
    <w:rsid w:val="005A26A8"/>
    <w:rsid w:val="005A2791"/>
    <w:rsid w:val="005A319A"/>
    <w:rsid w:val="005A4191"/>
    <w:rsid w:val="005A44E0"/>
    <w:rsid w:val="005A489D"/>
    <w:rsid w:val="005A5097"/>
    <w:rsid w:val="005A6BBA"/>
    <w:rsid w:val="005A6DA2"/>
    <w:rsid w:val="005A7F4F"/>
    <w:rsid w:val="005B08E9"/>
    <w:rsid w:val="005B2A7A"/>
    <w:rsid w:val="005B408C"/>
    <w:rsid w:val="005B4D9D"/>
    <w:rsid w:val="005B4F78"/>
    <w:rsid w:val="005B4FD3"/>
    <w:rsid w:val="005B62F0"/>
    <w:rsid w:val="005C06F4"/>
    <w:rsid w:val="005C32FB"/>
    <w:rsid w:val="005C3497"/>
    <w:rsid w:val="005C3B18"/>
    <w:rsid w:val="005C51F5"/>
    <w:rsid w:val="005C6B2C"/>
    <w:rsid w:val="005D100D"/>
    <w:rsid w:val="005D210F"/>
    <w:rsid w:val="005D29EF"/>
    <w:rsid w:val="005D4A64"/>
    <w:rsid w:val="005D4F37"/>
    <w:rsid w:val="005D53CD"/>
    <w:rsid w:val="005D5810"/>
    <w:rsid w:val="005E0535"/>
    <w:rsid w:val="005E1094"/>
    <w:rsid w:val="005E1EFC"/>
    <w:rsid w:val="005E256C"/>
    <w:rsid w:val="005E27AB"/>
    <w:rsid w:val="005E4A1A"/>
    <w:rsid w:val="005E6315"/>
    <w:rsid w:val="005E6C3A"/>
    <w:rsid w:val="005E7664"/>
    <w:rsid w:val="005F44AB"/>
    <w:rsid w:val="005F485A"/>
    <w:rsid w:val="005F74A1"/>
    <w:rsid w:val="006000CC"/>
    <w:rsid w:val="00601DD0"/>
    <w:rsid w:val="00602910"/>
    <w:rsid w:val="00602C32"/>
    <w:rsid w:val="00603F10"/>
    <w:rsid w:val="00607469"/>
    <w:rsid w:val="0061060A"/>
    <w:rsid w:val="00610ED2"/>
    <w:rsid w:val="00612DE0"/>
    <w:rsid w:val="00615145"/>
    <w:rsid w:val="00616ECD"/>
    <w:rsid w:val="00620498"/>
    <w:rsid w:val="006209C2"/>
    <w:rsid w:val="0062158F"/>
    <w:rsid w:val="006261EC"/>
    <w:rsid w:val="00626C40"/>
    <w:rsid w:val="006306FB"/>
    <w:rsid w:val="006333E1"/>
    <w:rsid w:val="006355CF"/>
    <w:rsid w:val="00635A77"/>
    <w:rsid w:val="00635C4E"/>
    <w:rsid w:val="00637533"/>
    <w:rsid w:val="006406EA"/>
    <w:rsid w:val="006411CA"/>
    <w:rsid w:val="00641B19"/>
    <w:rsid w:val="006425D6"/>
    <w:rsid w:val="00645C5D"/>
    <w:rsid w:val="00646761"/>
    <w:rsid w:val="00647389"/>
    <w:rsid w:val="00647A20"/>
    <w:rsid w:val="0065039A"/>
    <w:rsid w:val="0065121B"/>
    <w:rsid w:val="0065160A"/>
    <w:rsid w:val="0065161C"/>
    <w:rsid w:val="00651B9A"/>
    <w:rsid w:val="0065364E"/>
    <w:rsid w:val="0066197A"/>
    <w:rsid w:val="00662858"/>
    <w:rsid w:val="006630EF"/>
    <w:rsid w:val="00663888"/>
    <w:rsid w:val="00663FE0"/>
    <w:rsid w:val="00666E3C"/>
    <w:rsid w:val="00667816"/>
    <w:rsid w:val="006678A0"/>
    <w:rsid w:val="00667BC9"/>
    <w:rsid w:val="006716A0"/>
    <w:rsid w:val="00672EA9"/>
    <w:rsid w:val="006731F9"/>
    <w:rsid w:val="0067567B"/>
    <w:rsid w:val="00675984"/>
    <w:rsid w:val="00675C43"/>
    <w:rsid w:val="00676626"/>
    <w:rsid w:val="006775EE"/>
    <w:rsid w:val="006777E1"/>
    <w:rsid w:val="0068010D"/>
    <w:rsid w:val="006808D6"/>
    <w:rsid w:val="00680ECA"/>
    <w:rsid w:val="00682948"/>
    <w:rsid w:val="00685660"/>
    <w:rsid w:val="00685A6E"/>
    <w:rsid w:val="00685FF3"/>
    <w:rsid w:val="00686D47"/>
    <w:rsid w:val="00692D17"/>
    <w:rsid w:val="0069470F"/>
    <w:rsid w:val="00694A2C"/>
    <w:rsid w:val="00695DFA"/>
    <w:rsid w:val="00696463"/>
    <w:rsid w:val="006A0850"/>
    <w:rsid w:val="006A1BDF"/>
    <w:rsid w:val="006A2A14"/>
    <w:rsid w:val="006A363C"/>
    <w:rsid w:val="006A54D4"/>
    <w:rsid w:val="006A58F2"/>
    <w:rsid w:val="006B3053"/>
    <w:rsid w:val="006B3F3F"/>
    <w:rsid w:val="006B44F7"/>
    <w:rsid w:val="006B4ED0"/>
    <w:rsid w:val="006B5D59"/>
    <w:rsid w:val="006C1611"/>
    <w:rsid w:val="006C2A39"/>
    <w:rsid w:val="006C423B"/>
    <w:rsid w:val="006C5B83"/>
    <w:rsid w:val="006C6B17"/>
    <w:rsid w:val="006D1FBB"/>
    <w:rsid w:val="006D2680"/>
    <w:rsid w:val="006D390F"/>
    <w:rsid w:val="006D5AB2"/>
    <w:rsid w:val="006E10BA"/>
    <w:rsid w:val="006E151E"/>
    <w:rsid w:val="006E18E6"/>
    <w:rsid w:val="006E2488"/>
    <w:rsid w:val="006E2D7D"/>
    <w:rsid w:val="006E741F"/>
    <w:rsid w:val="006F0118"/>
    <w:rsid w:val="006F0420"/>
    <w:rsid w:val="006F1D11"/>
    <w:rsid w:val="006F276E"/>
    <w:rsid w:val="006F54C6"/>
    <w:rsid w:val="006F5FCA"/>
    <w:rsid w:val="006F65D8"/>
    <w:rsid w:val="006F7A52"/>
    <w:rsid w:val="00700D64"/>
    <w:rsid w:val="007057B5"/>
    <w:rsid w:val="0070581D"/>
    <w:rsid w:val="00705D59"/>
    <w:rsid w:val="0070661C"/>
    <w:rsid w:val="00706FD1"/>
    <w:rsid w:val="00707503"/>
    <w:rsid w:val="007102BC"/>
    <w:rsid w:val="007113DE"/>
    <w:rsid w:val="00713388"/>
    <w:rsid w:val="00716208"/>
    <w:rsid w:val="0071634E"/>
    <w:rsid w:val="00716EC1"/>
    <w:rsid w:val="00720954"/>
    <w:rsid w:val="00721AF3"/>
    <w:rsid w:val="00722368"/>
    <w:rsid w:val="0072249E"/>
    <w:rsid w:val="007241F7"/>
    <w:rsid w:val="00726D85"/>
    <w:rsid w:val="00730934"/>
    <w:rsid w:val="00731F9C"/>
    <w:rsid w:val="0073200F"/>
    <w:rsid w:val="00732B69"/>
    <w:rsid w:val="00733EC2"/>
    <w:rsid w:val="007367A2"/>
    <w:rsid w:val="00745EFE"/>
    <w:rsid w:val="00750EC8"/>
    <w:rsid w:val="00752343"/>
    <w:rsid w:val="007531BB"/>
    <w:rsid w:val="00753373"/>
    <w:rsid w:val="007544E4"/>
    <w:rsid w:val="00754F93"/>
    <w:rsid w:val="00757A81"/>
    <w:rsid w:val="00760F07"/>
    <w:rsid w:val="00763171"/>
    <w:rsid w:val="007661DB"/>
    <w:rsid w:val="0076667D"/>
    <w:rsid w:val="0076798D"/>
    <w:rsid w:val="00770393"/>
    <w:rsid w:val="00771BCD"/>
    <w:rsid w:val="00771DF3"/>
    <w:rsid w:val="00774976"/>
    <w:rsid w:val="00775028"/>
    <w:rsid w:val="0078023F"/>
    <w:rsid w:val="00780D11"/>
    <w:rsid w:val="0078139C"/>
    <w:rsid w:val="007822E6"/>
    <w:rsid w:val="0078259D"/>
    <w:rsid w:val="00782CC4"/>
    <w:rsid w:val="00783563"/>
    <w:rsid w:val="007850BD"/>
    <w:rsid w:val="007856BD"/>
    <w:rsid w:val="00787596"/>
    <w:rsid w:val="0079718E"/>
    <w:rsid w:val="007A070F"/>
    <w:rsid w:val="007A0A1C"/>
    <w:rsid w:val="007A1C17"/>
    <w:rsid w:val="007A2347"/>
    <w:rsid w:val="007A27B5"/>
    <w:rsid w:val="007A2EF0"/>
    <w:rsid w:val="007A5223"/>
    <w:rsid w:val="007B052D"/>
    <w:rsid w:val="007B2762"/>
    <w:rsid w:val="007B2F25"/>
    <w:rsid w:val="007B69EF"/>
    <w:rsid w:val="007C1160"/>
    <w:rsid w:val="007C3F3B"/>
    <w:rsid w:val="007C4B31"/>
    <w:rsid w:val="007C56EB"/>
    <w:rsid w:val="007C6122"/>
    <w:rsid w:val="007D060D"/>
    <w:rsid w:val="007D1BAB"/>
    <w:rsid w:val="007D1C4C"/>
    <w:rsid w:val="007D26CE"/>
    <w:rsid w:val="007D349E"/>
    <w:rsid w:val="007D5B71"/>
    <w:rsid w:val="007D7E11"/>
    <w:rsid w:val="007E0510"/>
    <w:rsid w:val="007E2198"/>
    <w:rsid w:val="007E26A9"/>
    <w:rsid w:val="007E5AB2"/>
    <w:rsid w:val="007E6044"/>
    <w:rsid w:val="007E6AFF"/>
    <w:rsid w:val="007E7E19"/>
    <w:rsid w:val="007F1885"/>
    <w:rsid w:val="007F2700"/>
    <w:rsid w:val="007F31E6"/>
    <w:rsid w:val="007F51C9"/>
    <w:rsid w:val="007F6649"/>
    <w:rsid w:val="008009BC"/>
    <w:rsid w:val="00802194"/>
    <w:rsid w:val="00802E80"/>
    <w:rsid w:val="00802F8B"/>
    <w:rsid w:val="0080311C"/>
    <w:rsid w:val="00804357"/>
    <w:rsid w:val="00804BAC"/>
    <w:rsid w:val="00804CAA"/>
    <w:rsid w:val="00805ADA"/>
    <w:rsid w:val="0080611C"/>
    <w:rsid w:val="00806A58"/>
    <w:rsid w:val="00807309"/>
    <w:rsid w:val="00807E7A"/>
    <w:rsid w:val="0081037A"/>
    <w:rsid w:val="0081140E"/>
    <w:rsid w:val="00812033"/>
    <w:rsid w:val="008124D6"/>
    <w:rsid w:val="00815099"/>
    <w:rsid w:val="00816F19"/>
    <w:rsid w:val="008172ED"/>
    <w:rsid w:val="00817364"/>
    <w:rsid w:val="0081767F"/>
    <w:rsid w:val="00817BB9"/>
    <w:rsid w:val="00817F05"/>
    <w:rsid w:val="00820037"/>
    <w:rsid w:val="00820494"/>
    <w:rsid w:val="008215D3"/>
    <w:rsid w:val="00822166"/>
    <w:rsid w:val="00823BAF"/>
    <w:rsid w:val="00823C34"/>
    <w:rsid w:val="00823E82"/>
    <w:rsid w:val="00823F4F"/>
    <w:rsid w:val="00823F72"/>
    <w:rsid w:val="00824787"/>
    <w:rsid w:val="00825A29"/>
    <w:rsid w:val="00826439"/>
    <w:rsid w:val="008265EB"/>
    <w:rsid w:val="00826A51"/>
    <w:rsid w:val="008320C4"/>
    <w:rsid w:val="00832D2C"/>
    <w:rsid w:val="00833E2D"/>
    <w:rsid w:val="00836E3F"/>
    <w:rsid w:val="008376E1"/>
    <w:rsid w:val="00840AB6"/>
    <w:rsid w:val="00840F29"/>
    <w:rsid w:val="00841BEE"/>
    <w:rsid w:val="008422CC"/>
    <w:rsid w:val="008438A1"/>
    <w:rsid w:val="0084398D"/>
    <w:rsid w:val="00844197"/>
    <w:rsid w:val="00844484"/>
    <w:rsid w:val="0084500B"/>
    <w:rsid w:val="00845256"/>
    <w:rsid w:val="00845694"/>
    <w:rsid w:val="008456D9"/>
    <w:rsid w:val="00845D22"/>
    <w:rsid w:val="008478F5"/>
    <w:rsid w:val="0085123A"/>
    <w:rsid w:val="00851F99"/>
    <w:rsid w:val="00853E60"/>
    <w:rsid w:val="00854CA4"/>
    <w:rsid w:val="00855526"/>
    <w:rsid w:val="00860448"/>
    <w:rsid w:val="0086150A"/>
    <w:rsid w:val="0086264F"/>
    <w:rsid w:val="00863644"/>
    <w:rsid w:val="00864EFD"/>
    <w:rsid w:val="008659D9"/>
    <w:rsid w:val="00865BBF"/>
    <w:rsid w:val="0086604F"/>
    <w:rsid w:val="008663D7"/>
    <w:rsid w:val="0086682F"/>
    <w:rsid w:val="00870972"/>
    <w:rsid w:val="00870BCE"/>
    <w:rsid w:val="00872309"/>
    <w:rsid w:val="008727A9"/>
    <w:rsid w:val="008749EC"/>
    <w:rsid w:val="0087504E"/>
    <w:rsid w:val="00876D77"/>
    <w:rsid w:val="00877E4C"/>
    <w:rsid w:val="00880EA5"/>
    <w:rsid w:val="008823DC"/>
    <w:rsid w:val="00884334"/>
    <w:rsid w:val="008851D3"/>
    <w:rsid w:val="00885657"/>
    <w:rsid w:val="0088669C"/>
    <w:rsid w:val="0089050E"/>
    <w:rsid w:val="008927CA"/>
    <w:rsid w:val="0089388F"/>
    <w:rsid w:val="008968EF"/>
    <w:rsid w:val="008A24B5"/>
    <w:rsid w:val="008A5413"/>
    <w:rsid w:val="008A617D"/>
    <w:rsid w:val="008A6B8E"/>
    <w:rsid w:val="008B153D"/>
    <w:rsid w:val="008B1E7C"/>
    <w:rsid w:val="008B2565"/>
    <w:rsid w:val="008B36B3"/>
    <w:rsid w:val="008B56E1"/>
    <w:rsid w:val="008B5700"/>
    <w:rsid w:val="008B5947"/>
    <w:rsid w:val="008B6124"/>
    <w:rsid w:val="008B62E0"/>
    <w:rsid w:val="008B6519"/>
    <w:rsid w:val="008B67F7"/>
    <w:rsid w:val="008B73C3"/>
    <w:rsid w:val="008B75D1"/>
    <w:rsid w:val="008B781F"/>
    <w:rsid w:val="008C0301"/>
    <w:rsid w:val="008C38FA"/>
    <w:rsid w:val="008C3930"/>
    <w:rsid w:val="008C44E6"/>
    <w:rsid w:val="008C66F0"/>
    <w:rsid w:val="008D0824"/>
    <w:rsid w:val="008D1F2F"/>
    <w:rsid w:val="008D27FC"/>
    <w:rsid w:val="008D359C"/>
    <w:rsid w:val="008D49E4"/>
    <w:rsid w:val="008D49E8"/>
    <w:rsid w:val="008D68FE"/>
    <w:rsid w:val="008D7DC2"/>
    <w:rsid w:val="008E0423"/>
    <w:rsid w:val="008E1009"/>
    <w:rsid w:val="008E2ACC"/>
    <w:rsid w:val="008E2DEF"/>
    <w:rsid w:val="008E51AB"/>
    <w:rsid w:val="008E6770"/>
    <w:rsid w:val="008E6A95"/>
    <w:rsid w:val="008E73ED"/>
    <w:rsid w:val="008F1462"/>
    <w:rsid w:val="008F1B30"/>
    <w:rsid w:val="008F1FA4"/>
    <w:rsid w:val="008F2246"/>
    <w:rsid w:val="008F3069"/>
    <w:rsid w:val="008F5124"/>
    <w:rsid w:val="008F543E"/>
    <w:rsid w:val="008F5F92"/>
    <w:rsid w:val="009009BC"/>
    <w:rsid w:val="00900E66"/>
    <w:rsid w:val="00902EEC"/>
    <w:rsid w:val="009038DC"/>
    <w:rsid w:val="00903D14"/>
    <w:rsid w:val="00903DB6"/>
    <w:rsid w:val="00904920"/>
    <w:rsid w:val="00904B88"/>
    <w:rsid w:val="00906109"/>
    <w:rsid w:val="00907601"/>
    <w:rsid w:val="00911200"/>
    <w:rsid w:val="00912070"/>
    <w:rsid w:val="00914C16"/>
    <w:rsid w:val="00917AC6"/>
    <w:rsid w:val="00917D76"/>
    <w:rsid w:val="009203F9"/>
    <w:rsid w:val="00920BB9"/>
    <w:rsid w:val="0092253F"/>
    <w:rsid w:val="00922805"/>
    <w:rsid w:val="0092400D"/>
    <w:rsid w:val="0092751D"/>
    <w:rsid w:val="00932132"/>
    <w:rsid w:val="009328E0"/>
    <w:rsid w:val="00936B87"/>
    <w:rsid w:val="00937227"/>
    <w:rsid w:val="00937A7A"/>
    <w:rsid w:val="009406D4"/>
    <w:rsid w:val="00940A7E"/>
    <w:rsid w:val="0094191E"/>
    <w:rsid w:val="00941DE9"/>
    <w:rsid w:val="00942909"/>
    <w:rsid w:val="009437AC"/>
    <w:rsid w:val="00945BB4"/>
    <w:rsid w:val="009461C4"/>
    <w:rsid w:val="009465D4"/>
    <w:rsid w:val="00947489"/>
    <w:rsid w:val="0094795D"/>
    <w:rsid w:val="009501B3"/>
    <w:rsid w:val="00952300"/>
    <w:rsid w:val="0095279D"/>
    <w:rsid w:val="00954FA0"/>
    <w:rsid w:val="00955050"/>
    <w:rsid w:val="00955D58"/>
    <w:rsid w:val="0095778D"/>
    <w:rsid w:val="00957C30"/>
    <w:rsid w:val="009610BB"/>
    <w:rsid w:val="00963BC1"/>
    <w:rsid w:val="0096697C"/>
    <w:rsid w:val="009673B7"/>
    <w:rsid w:val="0096776C"/>
    <w:rsid w:val="00970AD9"/>
    <w:rsid w:val="00974056"/>
    <w:rsid w:val="00981E88"/>
    <w:rsid w:val="009821CC"/>
    <w:rsid w:val="00983B44"/>
    <w:rsid w:val="00983E40"/>
    <w:rsid w:val="00984BEF"/>
    <w:rsid w:val="00987142"/>
    <w:rsid w:val="00987B87"/>
    <w:rsid w:val="0099011D"/>
    <w:rsid w:val="00994616"/>
    <w:rsid w:val="00996491"/>
    <w:rsid w:val="009A2316"/>
    <w:rsid w:val="009A2860"/>
    <w:rsid w:val="009A3048"/>
    <w:rsid w:val="009A3935"/>
    <w:rsid w:val="009A4337"/>
    <w:rsid w:val="009A4558"/>
    <w:rsid w:val="009A4A95"/>
    <w:rsid w:val="009A62C1"/>
    <w:rsid w:val="009A7096"/>
    <w:rsid w:val="009B0C24"/>
    <w:rsid w:val="009B3F88"/>
    <w:rsid w:val="009B40B9"/>
    <w:rsid w:val="009B568A"/>
    <w:rsid w:val="009C0EB6"/>
    <w:rsid w:val="009C28A8"/>
    <w:rsid w:val="009C3E12"/>
    <w:rsid w:val="009C65DC"/>
    <w:rsid w:val="009C72D5"/>
    <w:rsid w:val="009D0078"/>
    <w:rsid w:val="009D12C1"/>
    <w:rsid w:val="009D21EF"/>
    <w:rsid w:val="009D2865"/>
    <w:rsid w:val="009D296F"/>
    <w:rsid w:val="009D2D20"/>
    <w:rsid w:val="009D2FE8"/>
    <w:rsid w:val="009D32EC"/>
    <w:rsid w:val="009D333A"/>
    <w:rsid w:val="009D374E"/>
    <w:rsid w:val="009D53E3"/>
    <w:rsid w:val="009D66A3"/>
    <w:rsid w:val="009D7CF2"/>
    <w:rsid w:val="009E2DF4"/>
    <w:rsid w:val="009E3FC1"/>
    <w:rsid w:val="009E4F6F"/>
    <w:rsid w:val="009E6063"/>
    <w:rsid w:val="009E6444"/>
    <w:rsid w:val="009E7694"/>
    <w:rsid w:val="009F1363"/>
    <w:rsid w:val="009F1F31"/>
    <w:rsid w:val="009F36FA"/>
    <w:rsid w:val="009F43DD"/>
    <w:rsid w:val="009F4554"/>
    <w:rsid w:val="009F6EE3"/>
    <w:rsid w:val="00A008A2"/>
    <w:rsid w:val="00A015BF"/>
    <w:rsid w:val="00A01C8D"/>
    <w:rsid w:val="00A026EF"/>
    <w:rsid w:val="00A02D0E"/>
    <w:rsid w:val="00A05F4F"/>
    <w:rsid w:val="00A066EA"/>
    <w:rsid w:val="00A06AF9"/>
    <w:rsid w:val="00A07674"/>
    <w:rsid w:val="00A102E6"/>
    <w:rsid w:val="00A14DF0"/>
    <w:rsid w:val="00A158EC"/>
    <w:rsid w:val="00A179BA"/>
    <w:rsid w:val="00A218AB"/>
    <w:rsid w:val="00A2191A"/>
    <w:rsid w:val="00A223BA"/>
    <w:rsid w:val="00A22644"/>
    <w:rsid w:val="00A26569"/>
    <w:rsid w:val="00A268D1"/>
    <w:rsid w:val="00A26AFD"/>
    <w:rsid w:val="00A30AFA"/>
    <w:rsid w:val="00A30CEB"/>
    <w:rsid w:val="00A312BE"/>
    <w:rsid w:val="00A31FE5"/>
    <w:rsid w:val="00A32FBC"/>
    <w:rsid w:val="00A35449"/>
    <w:rsid w:val="00A35601"/>
    <w:rsid w:val="00A35DD7"/>
    <w:rsid w:val="00A36533"/>
    <w:rsid w:val="00A36609"/>
    <w:rsid w:val="00A423D8"/>
    <w:rsid w:val="00A42932"/>
    <w:rsid w:val="00A43D40"/>
    <w:rsid w:val="00A47197"/>
    <w:rsid w:val="00A524BD"/>
    <w:rsid w:val="00A536C4"/>
    <w:rsid w:val="00A54496"/>
    <w:rsid w:val="00A550A0"/>
    <w:rsid w:val="00A554C3"/>
    <w:rsid w:val="00A55E5C"/>
    <w:rsid w:val="00A56CEA"/>
    <w:rsid w:val="00A56D04"/>
    <w:rsid w:val="00A57BEF"/>
    <w:rsid w:val="00A60479"/>
    <w:rsid w:val="00A608DF"/>
    <w:rsid w:val="00A61825"/>
    <w:rsid w:val="00A61C96"/>
    <w:rsid w:val="00A63050"/>
    <w:rsid w:val="00A63E7F"/>
    <w:rsid w:val="00A6579C"/>
    <w:rsid w:val="00A66DAE"/>
    <w:rsid w:val="00A67215"/>
    <w:rsid w:val="00A70B19"/>
    <w:rsid w:val="00A70D37"/>
    <w:rsid w:val="00A72395"/>
    <w:rsid w:val="00A74A54"/>
    <w:rsid w:val="00A75340"/>
    <w:rsid w:val="00A768AE"/>
    <w:rsid w:val="00A827AE"/>
    <w:rsid w:val="00A82BA6"/>
    <w:rsid w:val="00A845EC"/>
    <w:rsid w:val="00A84ACE"/>
    <w:rsid w:val="00A8694B"/>
    <w:rsid w:val="00A87D0A"/>
    <w:rsid w:val="00A90534"/>
    <w:rsid w:val="00A9070F"/>
    <w:rsid w:val="00A90E92"/>
    <w:rsid w:val="00A91D6B"/>
    <w:rsid w:val="00A9316B"/>
    <w:rsid w:val="00A93E97"/>
    <w:rsid w:val="00A9536D"/>
    <w:rsid w:val="00A95638"/>
    <w:rsid w:val="00AA1AE2"/>
    <w:rsid w:val="00AA29DE"/>
    <w:rsid w:val="00AA3069"/>
    <w:rsid w:val="00AA4365"/>
    <w:rsid w:val="00AA74EC"/>
    <w:rsid w:val="00AA783A"/>
    <w:rsid w:val="00AB4AC8"/>
    <w:rsid w:val="00AB4D08"/>
    <w:rsid w:val="00AB5C9A"/>
    <w:rsid w:val="00AB5CB7"/>
    <w:rsid w:val="00AB7ADC"/>
    <w:rsid w:val="00AB7AFB"/>
    <w:rsid w:val="00AC147F"/>
    <w:rsid w:val="00AC1DAE"/>
    <w:rsid w:val="00AC4200"/>
    <w:rsid w:val="00AC4D9D"/>
    <w:rsid w:val="00AC5DC1"/>
    <w:rsid w:val="00AC7E07"/>
    <w:rsid w:val="00AD094E"/>
    <w:rsid w:val="00AD1EEE"/>
    <w:rsid w:val="00AD251C"/>
    <w:rsid w:val="00AD30E1"/>
    <w:rsid w:val="00AD389E"/>
    <w:rsid w:val="00AD5B84"/>
    <w:rsid w:val="00AD651A"/>
    <w:rsid w:val="00AE028B"/>
    <w:rsid w:val="00AE03C9"/>
    <w:rsid w:val="00AE03E4"/>
    <w:rsid w:val="00AE191F"/>
    <w:rsid w:val="00AE374F"/>
    <w:rsid w:val="00AE3B77"/>
    <w:rsid w:val="00AE3E69"/>
    <w:rsid w:val="00AE47B5"/>
    <w:rsid w:val="00AE7F83"/>
    <w:rsid w:val="00AF00BC"/>
    <w:rsid w:val="00AF1667"/>
    <w:rsid w:val="00AF2465"/>
    <w:rsid w:val="00AF3AF4"/>
    <w:rsid w:val="00AF4A4C"/>
    <w:rsid w:val="00B04D96"/>
    <w:rsid w:val="00B05FCE"/>
    <w:rsid w:val="00B0640E"/>
    <w:rsid w:val="00B07709"/>
    <w:rsid w:val="00B11627"/>
    <w:rsid w:val="00B133AB"/>
    <w:rsid w:val="00B139E9"/>
    <w:rsid w:val="00B13ACE"/>
    <w:rsid w:val="00B13C8A"/>
    <w:rsid w:val="00B15423"/>
    <w:rsid w:val="00B16F35"/>
    <w:rsid w:val="00B17A6F"/>
    <w:rsid w:val="00B17EEB"/>
    <w:rsid w:val="00B2124B"/>
    <w:rsid w:val="00B2427C"/>
    <w:rsid w:val="00B25B8C"/>
    <w:rsid w:val="00B262C6"/>
    <w:rsid w:val="00B26938"/>
    <w:rsid w:val="00B311B4"/>
    <w:rsid w:val="00B33DD8"/>
    <w:rsid w:val="00B3437B"/>
    <w:rsid w:val="00B35D63"/>
    <w:rsid w:val="00B369D3"/>
    <w:rsid w:val="00B41AEF"/>
    <w:rsid w:val="00B43F48"/>
    <w:rsid w:val="00B452F2"/>
    <w:rsid w:val="00B517F5"/>
    <w:rsid w:val="00B51A07"/>
    <w:rsid w:val="00B52057"/>
    <w:rsid w:val="00B55F40"/>
    <w:rsid w:val="00B56513"/>
    <w:rsid w:val="00B56DC4"/>
    <w:rsid w:val="00B5781C"/>
    <w:rsid w:val="00B617F7"/>
    <w:rsid w:val="00B61CE4"/>
    <w:rsid w:val="00B63D7D"/>
    <w:rsid w:val="00B64210"/>
    <w:rsid w:val="00B64B70"/>
    <w:rsid w:val="00B67574"/>
    <w:rsid w:val="00B67F56"/>
    <w:rsid w:val="00B700C8"/>
    <w:rsid w:val="00B70C3F"/>
    <w:rsid w:val="00B72E43"/>
    <w:rsid w:val="00B74550"/>
    <w:rsid w:val="00B74864"/>
    <w:rsid w:val="00B7711F"/>
    <w:rsid w:val="00B80BF8"/>
    <w:rsid w:val="00B8183A"/>
    <w:rsid w:val="00B81C50"/>
    <w:rsid w:val="00B82276"/>
    <w:rsid w:val="00B83243"/>
    <w:rsid w:val="00B83624"/>
    <w:rsid w:val="00B83B0E"/>
    <w:rsid w:val="00B84555"/>
    <w:rsid w:val="00B84D83"/>
    <w:rsid w:val="00B85CA8"/>
    <w:rsid w:val="00B863FA"/>
    <w:rsid w:val="00B9025C"/>
    <w:rsid w:val="00B92AB1"/>
    <w:rsid w:val="00B93877"/>
    <w:rsid w:val="00B93909"/>
    <w:rsid w:val="00B93BA2"/>
    <w:rsid w:val="00B93E8D"/>
    <w:rsid w:val="00B93FF6"/>
    <w:rsid w:val="00B95A6E"/>
    <w:rsid w:val="00B9626A"/>
    <w:rsid w:val="00BA05A9"/>
    <w:rsid w:val="00BA113B"/>
    <w:rsid w:val="00BA179E"/>
    <w:rsid w:val="00BA4558"/>
    <w:rsid w:val="00BA4AA2"/>
    <w:rsid w:val="00BA6225"/>
    <w:rsid w:val="00BA6D03"/>
    <w:rsid w:val="00BA70D6"/>
    <w:rsid w:val="00BA7CF3"/>
    <w:rsid w:val="00BB385A"/>
    <w:rsid w:val="00BB3BD1"/>
    <w:rsid w:val="00BB56C4"/>
    <w:rsid w:val="00BB572F"/>
    <w:rsid w:val="00BB7AD8"/>
    <w:rsid w:val="00BB7BD6"/>
    <w:rsid w:val="00BC03C4"/>
    <w:rsid w:val="00BC04A0"/>
    <w:rsid w:val="00BC0842"/>
    <w:rsid w:val="00BC112E"/>
    <w:rsid w:val="00BC29BC"/>
    <w:rsid w:val="00BC33BD"/>
    <w:rsid w:val="00BC3899"/>
    <w:rsid w:val="00BC3C03"/>
    <w:rsid w:val="00BC4004"/>
    <w:rsid w:val="00BC73DC"/>
    <w:rsid w:val="00BD02E3"/>
    <w:rsid w:val="00BD15C8"/>
    <w:rsid w:val="00BD1747"/>
    <w:rsid w:val="00BD2515"/>
    <w:rsid w:val="00BD6158"/>
    <w:rsid w:val="00BD725D"/>
    <w:rsid w:val="00BD76FC"/>
    <w:rsid w:val="00BD79EB"/>
    <w:rsid w:val="00BE05F2"/>
    <w:rsid w:val="00BE0C4A"/>
    <w:rsid w:val="00BE4627"/>
    <w:rsid w:val="00BE569A"/>
    <w:rsid w:val="00BE5869"/>
    <w:rsid w:val="00BE6879"/>
    <w:rsid w:val="00BF044D"/>
    <w:rsid w:val="00BF09AA"/>
    <w:rsid w:val="00BF0CC0"/>
    <w:rsid w:val="00BF46E6"/>
    <w:rsid w:val="00BF7EB3"/>
    <w:rsid w:val="00C00802"/>
    <w:rsid w:val="00C02BE2"/>
    <w:rsid w:val="00C03C12"/>
    <w:rsid w:val="00C048A6"/>
    <w:rsid w:val="00C04AF4"/>
    <w:rsid w:val="00C0584E"/>
    <w:rsid w:val="00C068AE"/>
    <w:rsid w:val="00C06A13"/>
    <w:rsid w:val="00C075C2"/>
    <w:rsid w:val="00C07D05"/>
    <w:rsid w:val="00C11760"/>
    <w:rsid w:val="00C12B96"/>
    <w:rsid w:val="00C15F40"/>
    <w:rsid w:val="00C17FF1"/>
    <w:rsid w:val="00C203C4"/>
    <w:rsid w:val="00C2136E"/>
    <w:rsid w:val="00C22394"/>
    <w:rsid w:val="00C236C0"/>
    <w:rsid w:val="00C24DF5"/>
    <w:rsid w:val="00C251BA"/>
    <w:rsid w:val="00C25B29"/>
    <w:rsid w:val="00C25EE4"/>
    <w:rsid w:val="00C265CA"/>
    <w:rsid w:val="00C32586"/>
    <w:rsid w:val="00C33098"/>
    <w:rsid w:val="00C338AD"/>
    <w:rsid w:val="00C347E6"/>
    <w:rsid w:val="00C34F76"/>
    <w:rsid w:val="00C352D8"/>
    <w:rsid w:val="00C35F05"/>
    <w:rsid w:val="00C41C81"/>
    <w:rsid w:val="00C4244C"/>
    <w:rsid w:val="00C42B32"/>
    <w:rsid w:val="00C42C84"/>
    <w:rsid w:val="00C42CB5"/>
    <w:rsid w:val="00C439C0"/>
    <w:rsid w:val="00C50CE5"/>
    <w:rsid w:val="00C50D2A"/>
    <w:rsid w:val="00C51B6A"/>
    <w:rsid w:val="00C52EFD"/>
    <w:rsid w:val="00C53F73"/>
    <w:rsid w:val="00C546BD"/>
    <w:rsid w:val="00C5505F"/>
    <w:rsid w:val="00C55586"/>
    <w:rsid w:val="00C5622E"/>
    <w:rsid w:val="00C57440"/>
    <w:rsid w:val="00C6270F"/>
    <w:rsid w:val="00C6345B"/>
    <w:rsid w:val="00C65923"/>
    <w:rsid w:val="00C6663D"/>
    <w:rsid w:val="00C66EFA"/>
    <w:rsid w:val="00C70F22"/>
    <w:rsid w:val="00C71D26"/>
    <w:rsid w:val="00C72BE5"/>
    <w:rsid w:val="00C75A8F"/>
    <w:rsid w:val="00C75BFA"/>
    <w:rsid w:val="00C76B05"/>
    <w:rsid w:val="00C76CF5"/>
    <w:rsid w:val="00C77361"/>
    <w:rsid w:val="00C80045"/>
    <w:rsid w:val="00C818D4"/>
    <w:rsid w:val="00C81CD7"/>
    <w:rsid w:val="00C82EB8"/>
    <w:rsid w:val="00C83371"/>
    <w:rsid w:val="00C843B5"/>
    <w:rsid w:val="00C84B34"/>
    <w:rsid w:val="00C8685E"/>
    <w:rsid w:val="00C87140"/>
    <w:rsid w:val="00C90C1E"/>
    <w:rsid w:val="00C9190F"/>
    <w:rsid w:val="00C91FED"/>
    <w:rsid w:val="00C92172"/>
    <w:rsid w:val="00C92B32"/>
    <w:rsid w:val="00C93FE3"/>
    <w:rsid w:val="00C975B8"/>
    <w:rsid w:val="00CA031B"/>
    <w:rsid w:val="00CA0525"/>
    <w:rsid w:val="00CA148B"/>
    <w:rsid w:val="00CA17E7"/>
    <w:rsid w:val="00CA225E"/>
    <w:rsid w:val="00CA29A3"/>
    <w:rsid w:val="00CA2FE0"/>
    <w:rsid w:val="00CA4409"/>
    <w:rsid w:val="00CA4704"/>
    <w:rsid w:val="00CA477E"/>
    <w:rsid w:val="00CA5003"/>
    <w:rsid w:val="00CA6115"/>
    <w:rsid w:val="00CA684E"/>
    <w:rsid w:val="00CA7770"/>
    <w:rsid w:val="00CB01BD"/>
    <w:rsid w:val="00CB0652"/>
    <w:rsid w:val="00CB0AF1"/>
    <w:rsid w:val="00CB2277"/>
    <w:rsid w:val="00CB2B52"/>
    <w:rsid w:val="00CB3EE4"/>
    <w:rsid w:val="00CB501A"/>
    <w:rsid w:val="00CB503A"/>
    <w:rsid w:val="00CB576B"/>
    <w:rsid w:val="00CB607D"/>
    <w:rsid w:val="00CB6A52"/>
    <w:rsid w:val="00CB6E31"/>
    <w:rsid w:val="00CB7834"/>
    <w:rsid w:val="00CC0715"/>
    <w:rsid w:val="00CC07FE"/>
    <w:rsid w:val="00CC0A4C"/>
    <w:rsid w:val="00CC0FF9"/>
    <w:rsid w:val="00CC1D9A"/>
    <w:rsid w:val="00CC2CB2"/>
    <w:rsid w:val="00CC3301"/>
    <w:rsid w:val="00CC4737"/>
    <w:rsid w:val="00CC5E68"/>
    <w:rsid w:val="00CC5FD6"/>
    <w:rsid w:val="00CC7648"/>
    <w:rsid w:val="00CC7A68"/>
    <w:rsid w:val="00CD0DCE"/>
    <w:rsid w:val="00CD28B4"/>
    <w:rsid w:val="00CD38F1"/>
    <w:rsid w:val="00CD42D0"/>
    <w:rsid w:val="00CD68C1"/>
    <w:rsid w:val="00CD6FA5"/>
    <w:rsid w:val="00CE02C4"/>
    <w:rsid w:val="00CE163A"/>
    <w:rsid w:val="00CE2B84"/>
    <w:rsid w:val="00CE4C1C"/>
    <w:rsid w:val="00CF09C2"/>
    <w:rsid w:val="00CF1497"/>
    <w:rsid w:val="00CF256E"/>
    <w:rsid w:val="00CF3D5F"/>
    <w:rsid w:val="00CF4D3E"/>
    <w:rsid w:val="00CF524A"/>
    <w:rsid w:val="00CF531C"/>
    <w:rsid w:val="00CF5403"/>
    <w:rsid w:val="00D0028D"/>
    <w:rsid w:val="00D01893"/>
    <w:rsid w:val="00D02F13"/>
    <w:rsid w:val="00D03948"/>
    <w:rsid w:val="00D040AB"/>
    <w:rsid w:val="00D04DF7"/>
    <w:rsid w:val="00D059DF"/>
    <w:rsid w:val="00D05E9B"/>
    <w:rsid w:val="00D1153D"/>
    <w:rsid w:val="00D11782"/>
    <w:rsid w:val="00D14312"/>
    <w:rsid w:val="00D14B82"/>
    <w:rsid w:val="00D1580C"/>
    <w:rsid w:val="00D16A93"/>
    <w:rsid w:val="00D16F76"/>
    <w:rsid w:val="00D20944"/>
    <w:rsid w:val="00D20AAF"/>
    <w:rsid w:val="00D24DC0"/>
    <w:rsid w:val="00D25C99"/>
    <w:rsid w:val="00D25D45"/>
    <w:rsid w:val="00D27613"/>
    <w:rsid w:val="00D279D2"/>
    <w:rsid w:val="00D331D3"/>
    <w:rsid w:val="00D3321A"/>
    <w:rsid w:val="00D3445E"/>
    <w:rsid w:val="00D34C71"/>
    <w:rsid w:val="00D34D27"/>
    <w:rsid w:val="00D37C24"/>
    <w:rsid w:val="00D42369"/>
    <w:rsid w:val="00D44CEF"/>
    <w:rsid w:val="00D453AC"/>
    <w:rsid w:val="00D45E89"/>
    <w:rsid w:val="00D46FCF"/>
    <w:rsid w:val="00D47525"/>
    <w:rsid w:val="00D50670"/>
    <w:rsid w:val="00D5082F"/>
    <w:rsid w:val="00D5184F"/>
    <w:rsid w:val="00D52EB6"/>
    <w:rsid w:val="00D54901"/>
    <w:rsid w:val="00D55137"/>
    <w:rsid w:val="00D55C08"/>
    <w:rsid w:val="00D56EBD"/>
    <w:rsid w:val="00D62880"/>
    <w:rsid w:val="00D630EC"/>
    <w:rsid w:val="00D65210"/>
    <w:rsid w:val="00D67E55"/>
    <w:rsid w:val="00D70737"/>
    <w:rsid w:val="00D7142E"/>
    <w:rsid w:val="00D71FB3"/>
    <w:rsid w:val="00D73265"/>
    <w:rsid w:val="00D743C7"/>
    <w:rsid w:val="00D74BC9"/>
    <w:rsid w:val="00D80027"/>
    <w:rsid w:val="00D81EA1"/>
    <w:rsid w:val="00D82BE0"/>
    <w:rsid w:val="00D83B2B"/>
    <w:rsid w:val="00D83F77"/>
    <w:rsid w:val="00D84B3F"/>
    <w:rsid w:val="00D87AC1"/>
    <w:rsid w:val="00D87EAE"/>
    <w:rsid w:val="00D9105F"/>
    <w:rsid w:val="00D92625"/>
    <w:rsid w:val="00D92794"/>
    <w:rsid w:val="00D95375"/>
    <w:rsid w:val="00D95483"/>
    <w:rsid w:val="00DA242E"/>
    <w:rsid w:val="00DA37BF"/>
    <w:rsid w:val="00DA390B"/>
    <w:rsid w:val="00DA3F08"/>
    <w:rsid w:val="00DA56D1"/>
    <w:rsid w:val="00DA6E02"/>
    <w:rsid w:val="00DA73BF"/>
    <w:rsid w:val="00DB15CA"/>
    <w:rsid w:val="00DB2119"/>
    <w:rsid w:val="00DB3A09"/>
    <w:rsid w:val="00DB3A98"/>
    <w:rsid w:val="00DB425C"/>
    <w:rsid w:val="00DB4840"/>
    <w:rsid w:val="00DB55DC"/>
    <w:rsid w:val="00DB759C"/>
    <w:rsid w:val="00DC0516"/>
    <w:rsid w:val="00DC1551"/>
    <w:rsid w:val="00DC355C"/>
    <w:rsid w:val="00DC57AB"/>
    <w:rsid w:val="00DC7F83"/>
    <w:rsid w:val="00DD0867"/>
    <w:rsid w:val="00DD0E89"/>
    <w:rsid w:val="00DD2916"/>
    <w:rsid w:val="00DD34A6"/>
    <w:rsid w:val="00DD4512"/>
    <w:rsid w:val="00DD475B"/>
    <w:rsid w:val="00DD4B72"/>
    <w:rsid w:val="00DD7242"/>
    <w:rsid w:val="00DD7356"/>
    <w:rsid w:val="00DE155C"/>
    <w:rsid w:val="00DE1CD3"/>
    <w:rsid w:val="00DE2652"/>
    <w:rsid w:val="00DE3C67"/>
    <w:rsid w:val="00DE3DFC"/>
    <w:rsid w:val="00DE516B"/>
    <w:rsid w:val="00DE5E64"/>
    <w:rsid w:val="00DE5EA9"/>
    <w:rsid w:val="00DE7310"/>
    <w:rsid w:val="00DE77A3"/>
    <w:rsid w:val="00DE7E1D"/>
    <w:rsid w:val="00DF03B6"/>
    <w:rsid w:val="00DF0A4D"/>
    <w:rsid w:val="00DF1101"/>
    <w:rsid w:val="00DF11BB"/>
    <w:rsid w:val="00DF145E"/>
    <w:rsid w:val="00DF716A"/>
    <w:rsid w:val="00E00304"/>
    <w:rsid w:val="00E04683"/>
    <w:rsid w:val="00E05755"/>
    <w:rsid w:val="00E067B1"/>
    <w:rsid w:val="00E07560"/>
    <w:rsid w:val="00E07DC9"/>
    <w:rsid w:val="00E10B9C"/>
    <w:rsid w:val="00E1112C"/>
    <w:rsid w:val="00E11B98"/>
    <w:rsid w:val="00E11E8F"/>
    <w:rsid w:val="00E12C9E"/>
    <w:rsid w:val="00E1396C"/>
    <w:rsid w:val="00E13EBE"/>
    <w:rsid w:val="00E1433D"/>
    <w:rsid w:val="00E1527E"/>
    <w:rsid w:val="00E15CA9"/>
    <w:rsid w:val="00E15D03"/>
    <w:rsid w:val="00E16568"/>
    <w:rsid w:val="00E175A9"/>
    <w:rsid w:val="00E2373F"/>
    <w:rsid w:val="00E23CD4"/>
    <w:rsid w:val="00E24787"/>
    <w:rsid w:val="00E24AB5"/>
    <w:rsid w:val="00E27251"/>
    <w:rsid w:val="00E27D5B"/>
    <w:rsid w:val="00E305FB"/>
    <w:rsid w:val="00E30B6E"/>
    <w:rsid w:val="00E30BAB"/>
    <w:rsid w:val="00E314EE"/>
    <w:rsid w:val="00E32547"/>
    <w:rsid w:val="00E32BB5"/>
    <w:rsid w:val="00E33004"/>
    <w:rsid w:val="00E351B1"/>
    <w:rsid w:val="00E35566"/>
    <w:rsid w:val="00E42952"/>
    <w:rsid w:val="00E429C1"/>
    <w:rsid w:val="00E43300"/>
    <w:rsid w:val="00E44054"/>
    <w:rsid w:val="00E44383"/>
    <w:rsid w:val="00E47755"/>
    <w:rsid w:val="00E50B05"/>
    <w:rsid w:val="00E51932"/>
    <w:rsid w:val="00E522FC"/>
    <w:rsid w:val="00E5393A"/>
    <w:rsid w:val="00E54198"/>
    <w:rsid w:val="00E565B9"/>
    <w:rsid w:val="00E56C9A"/>
    <w:rsid w:val="00E62215"/>
    <w:rsid w:val="00E62C46"/>
    <w:rsid w:val="00E63741"/>
    <w:rsid w:val="00E63849"/>
    <w:rsid w:val="00E64510"/>
    <w:rsid w:val="00E656B2"/>
    <w:rsid w:val="00E66002"/>
    <w:rsid w:val="00E66350"/>
    <w:rsid w:val="00E712EB"/>
    <w:rsid w:val="00E722C5"/>
    <w:rsid w:val="00E738BD"/>
    <w:rsid w:val="00E74A6B"/>
    <w:rsid w:val="00E74D3C"/>
    <w:rsid w:val="00E757E0"/>
    <w:rsid w:val="00E778A6"/>
    <w:rsid w:val="00E778F6"/>
    <w:rsid w:val="00E8061C"/>
    <w:rsid w:val="00E81675"/>
    <w:rsid w:val="00E82C69"/>
    <w:rsid w:val="00E8310C"/>
    <w:rsid w:val="00E84762"/>
    <w:rsid w:val="00E85FA8"/>
    <w:rsid w:val="00E87007"/>
    <w:rsid w:val="00E87544"/>
    <w:rsid w:val="00E90A32"/>
    <w:rsid w:val="00E91A86"/>
    <w:rsid w:val="00E91F55"/>
    <w:rsid w:val="00E9608A"/>
    <w:rsid w:val="00E969C6"/>
    <w:rsid w:val="00E97809"/>
    <w:rsid w:val="00EA23E5"/>
    <w:rsid w:val="00EA33DE"/>
    <w:rsid w:val="00EA48AE"/>
    <w:rsid w:val="00EA5984"/>
    <w:rsid w:val="00EA6825"/>
    <w:rsid w:val="00EA6A65"/>
    <w:rsid w:val="00EA6F0E"/>
    <w:rsid w:val="00EA78D8"/>
    <w:rsid w:val="00EA7BAE"/>
    <w:rsid w:val="00EB0EDD"/>
    <w:rsid w:val="00EB0FD8"/>
    <w:rsid w:val="00EB218C"/>
    <w:rsid w:val="00EB22E3"/>
    <w:rsid w:val="00EB2B17"/>
    <w:rsid w:val="00EB2FF5"/>
    <w:rsid w:val="00EB552D"/>
    <w:rsid w:val="00EC0F70"/>
    <w:rsid w:val="00EC10A8"/>
    <w:rsid w:val="00EC1600"/>
    <w:rsid w:val="00EC2077"/>
    <w:rsid w:val="00EC4281"/>
    <w:rsid w:val="00EC47E5"/>
    <w:rsid w:val="00EC486D"/>
    <w:rsid w:val="00EC63D5"/>
    <w:rsid w:val="00EC6E2C"/>
    <w:rsid w:val="00ED36F3"/>
    <w:rsid w:val="00ED4117"/>
    <w:rsid w:val="00ED43F1"/>
    <w:rsid w:val="00ED5C3E"/>
    <w:rsid w:val="00ED72E4"/>
    <w:rsid w:val="00EE0729"/>
    <w:rsid w:val="00EE223A"/>
    <w:rsid w:val="00EE24FC"/>
    <w:rsid w:val="00EE76CD"/>
    <w:rsid w:val="00EF00B3"/>
    <w:rsid w:val="00EF1576"/>
    <w:rsid w:val="00EF448C"/>
    <w:rsid w:val="00EF470B"/>
    <w:rsid w:val="00EF4D47"/>
    <w:rsid w:val="00EF647E"/>
    <w:rsid w:val="00EF7D07"/>
    <w:rsid w:val="00F003A3"/>
    <w:rsid w:val="00F026E0"/>
    <w:rsid w:val="00F03C48"/>
    <w:rsid w:val="00F05C4B"/>
    <w:rsid w:val="00F06160"/>
    <w:rsid w:val="00F073F9"/>
    <w:rsid w:val="00F105BE"/>
    <w:rsid w:val="00F11291"/>
    <w:rsid w:val="00F11933"/>
    <w:rsid w:val="00F127E7"/>
    <w:rsid w:val="00F13187"/>
    <w:rsid w:val="00F13981"/>
    <w:rsid w:val="00F2039F"/>
    <w:rsid w:val="00F209D6"/>
    <w:rsid w:val="00F20EE8"/>
    <w:rsid w:val="00F216E9"/>
    <w:rsid w:val="00F230B9"/>
    <w:rsid w:val="00F236CE"/>
    <w:rsid w:val="00F24905"/>
    <w:rsid w:val="00F249E8"/>
    <w:rsid w:val="00F2570F"/>
    <w:rsid w:val="00F31AC6"/>
    <w:rsid w:val="00F31D27"/>
    <w:rsid w:val="00F31D89"/>
    <w:rsid w:val="00F324E3"/>
    <w:rsid w:val="00F3282D"/>
    <w:rsid w:val="00F33A94"/>
    <w:rsid w:val="00F345FF"/>
    <w:rsid w:val="00F375C1"/>
    <w:rsid w:val="00F40A28"/>
    <w:rsid w:val="00F41422"/>
    <w:rsid w:val="00F418FB"/>
    <w:rsid w:val="00F4431A"/>
    <w:rsid w:val="00F44C3E"/>
    <w:rsid w:val="00F44D27"/>
    <w:rsid w:val="00F4528A"/>
    <w:rsid w:val="00F45631"/>
    <w:rsid w:val="00F45D3A"/>
    <w:rsid w:val="00F45F41"/>
    <w:rsid w:val="00F47654"/>
    <w:rsid w:val="00F47CCE"/>
    <w:rsid w:val="00F47DF3"/>
    <w:rsid w:val="00F501D0"/>
    <w:rsid w:val="00F5342F"/>
    <w:rsid w:val="00F576E9"/>
    <w:rsid w:val="00F60DAD"/>
    <w:rsid w:val="00F61BB1"/>
    <w:rsid w:val="00F63F45"/>
    <w:rsid w:val="00F653D4"/>
    <w:rsid w:val="00F65E77"/>
    <w:rsid w:val="00F67F0E"/>
    <w:rsid w:val="00F70063"/>
    <w:rsid w:val="00F70FF5"/>
    <w:rsid w:val="00F711AF"/>
    <w:rsid w:val="00F717BA"/>
    <w:rsid w:val="00F72014"/>
    <w:rsid w:val="00F725FC"/>
    <w:rsid w:val="00F72B1B"/>
    <w:rsid w:val="00F73771"/>
    <w:rsid w:val="00F73D04"/>
    <w:rsid w:val="00F74C8D"/>
    <w:rsid w:val="00F75C77"/>
    <w:rsid w:val="00F81F4C"/>
    <w:rsid w:val="00F845C8"/>
    <w:rsid w:val="00F86F28"/>
    <w:rsid w:val="00F870A6"/>
    <w:rsid w:val="00F8758C"/>
    <w:rsid w:val="00F92F9D"/>
    <w:rsid w:val="00F93A28"/>
    <w:rsid w:val="00F94DBE"/>
    <w:rsid w:val="00F972F1"/>
    <w:rsid w:val="00FA0CF8"/>
    <w:rsid w:val="00FA1094"/>
    <w:rsid w:val="00FA30A6"/>
    <w:rsid w:val="00FA4A5C"/>
    <w:rsid w:val="00FA54C6"/>
    <w:rsid w:val="00FA65CE"/>
    <w:rsid w:val="00FB2B76"/>
    <w:rsid w:val="00FB33C7"/>
    <w:rsid w:val="00FB4BF2"/>
    <w:rsid w:val="00FB6122"/>
    <w:rsid w:val="00FB6235"/>
    <w:rsid w:val="00FB70AD"/>
    <w:rsid w:val="00FB75E0"/>
    <w:rsid w:val="00FC0019"/>
    <w:rsid w:val="00FC02F9"/>
    <w:rsid w:val="00FC10AB"/>
    <w:rsid w:val="00FC217B"/>
    <w:rsid w:val="00FC247D"/>
    <w:rsid w:val="00FC292C"/>
    <w:rsid w:val="00FC37DB"/>
    <w:rsid w:val="00FC392F"/>
    <w:rsid w:val="00FC437C"/>
    <w:rsid w:val="00FC44A8"/>
    <w:rsid w:val="00FC4903"/>
    <w:rsid w:val="00FC622D"/>
    <w:rsid w:val="00FC68D0"/>
    <w:rsid w:val="00FC6E57"/>
    <w:rsid w:val="00FD0913"/>
    <w:rsid w:val="00FD0991"/>
    <w:rsid w:val="00FD1CAF"/>
    <w:rsid w:val="00FD291F"/>
    <w:rsid w:val="00FD4B54"/>
    <w:rsid w:val="00FD54D1"/>
    <w:rsid w:val="00FD65DE"/>
    <w:rsid w:val="00FD664A"/>
    <w:rsid w:val="00FD66E2"/>
    <w:rsid w:val="00FE18D1"/>
    <w:rsid w:val="00FE1A67"/>
    <w:rsid w:val="00FE3E61"/>
    <w:rsid w:val="00FE4FD5"/>
    <w:rsid w:val="00FE5A4E"/>
    <w:rsid w:val="00FE66D1"/>
    <w:rsid w:val="00FF1AE3"/>
    <w:rsid w:val="00FF252A"/>
    <w:rsid w:val="00FF4812"/>
    <w:rsid w:val="00FF5C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1BB9A"/>
  <w15:chartTrackingRefBased/>
  <w15:docId w15:val="{5155C875-7CA2-4259-9404-53412974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073315"/>
    <w:pPr>
      <w:keepNext/>
      <w:keepLines/>
      <w:spacing w:after="0" w:line="240" w:lineRule="auto"/>
      <w:jc w:val="both"/>
      <w:outlineLvl w:val="0"/>
    </w:pPr>
    <w:rPr>
      <w:rFonts w:ascii="Times New Roman" w:eastAsiaTheme="majorEastAsia" w:hAnsi="Times New Roman" w:cstheme="majorBidi"/>
      <w:b/>
      <w:color w:val="1F3864" w:themeColor="accent1" w:themeShade="80"/>
      <w:spacing w:val="-2"/>
      <w:sz w:val="26"/>
      <w:szCs w:val="32"/>
    </w:rPr>
  </w:style>
  <w:style w:type="paragraph" w:styleId="Ttulo2">
    <w:name w:val="heading 2"/>
    <w:basedOn w:val="Normal"/>
    <w:next w:val="Normal"/>
    <w:link w:val="Ttulo2Car"/>
    <w:uiPriority w:val="9"/>
    <w:unhideWhenUsed/>
    <w:qFormat/>
    <w:rsid w:val="00CA0525"/>
    <w:pPr>
      <w:keepNext/>
      <w:keepLines/>
      <w:numPr>
        <w:numId w:val="19"/>
      </w:numPr>
      <w:spacing w:after="0"/>
      <w:jc w:val="both"/>
      <w:outlineLvl w:val="1"/>
    </w:pPr>
    <w:rPr>
      <w:rFonts w:ascii="Times New Roman" w:eastAsiaTheme="majorEastAsia" w:hAnsi="Times New Roman" w:cstheme="majorBidi"/>
      <w:b/>
      <w:color w:val="1F3864" w:themeColor="accent1" w:themeShade="80"/>
      <w:sz w:val="24"/>
      <w:szCs w:val="26"/>
    </w:rPr>
  </w:style>
  <w:style w:type="paragraph" w:styleId="Ttulo3">
    <w:name w:val="heading 3"/>
    <w:basedOn w:val="Normal"/>
    <w:next w:val="Normal"/>
    <w:link w:val="Ttulo3Car"/>
    <w:uiPriority w:val="9"/>
    <w:unhideWhenUsed/>
    <w:qFormat/>
    <w:rsid w:val="006C2A39"/>
    <w:pPr>
      <w:keepNext/>
      <w:keepLines/>
      <w:spacing w:after="0"/>
      <w:jc w:val="both"/>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Párrafo de lista11,EY EPM - Lista"/>
    <w:basedOn w:val="Normal"/>
    <w:link w:val="PrrafodelistaCar"/>
    <w:uiPriority w:val="34"/>
    <w:qFormat/>
    <w:rsid w:val="002A7BF9"/>
    <w:pPr>
      <w:ind w:left="720"/>
      <w:contextualSpacing/>
    </w:pPr>
  </w:style>
  <w:style w:type="character" w:styleId="Hipervnculo">
    <w:name w:val="Hyperlink"/>
    <w:uiPriority w:val="99"/>
    <w:unhideWhenUsed/>
    <w:rsid w:val="00236A23"/>
    <w:rPr>
      <w:color w:val="0000FF"/>
      <w:u w:val="single"/>
    </w:rPr>
  </w:style>
  <w:style w:type="paragraph" w:styleId="Textodeglobo">
    <w:name w:val="Balloon Text"/>
    <w:basedOn w:val="Normal"/>
    <w:link w:val="TextodegloboCar"/>
    <w:uiPriority w:val="99"/>
    <w:semiHidden/>
    <w:unhideWhenUsed/>
    <w:rsid w:val="00AD094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AD094E"/>
    <w:rPr>
      <w:rFonts w:ascii="Segoe UI" w:hAnsi="Segoe UI" w:cs="Segoe UI"/>
      <w:sz w:val="18"/>
      <w:szCs w:val="18"/>
    </w:rPr>
  </w:style>
  <w:style w:type="paragraph" w:styleId="Encabezado">
    <w:name w:val="header"/>
    <w:basedOn w:val="Normal"/>
    <w:link w:val="EncabezadoCar"/>
    <w:unhideWhenUsed/>
    <w:rsid w:val="008F1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462"/>
  </w:style>
  <w:style w:type="paragraph" w:styleId="Piedepgina">
    <w:name w:val="footer"/>
    <w:basedOn w:val="Normal"/>
    <w:link w:val="PiedepginaCar"/>
    <w:uiPriority w:val="99"/>
    <w:unhideWhenUsed/>
    <w:rsid w:val="008F1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462"/>
  </w:style>
  <w:style w:type="character" w:styleId="Refdecomentario">
    <w:name w:val="annotation reference"/>
    <w:uiPriority w:val="99"/>
    <w:semiHidden/>
    <w:unhideWhenUsed/>
    <w:rsid w:val="006716A0"/>
    <w:rPr>
      <w:sz w:val="16"/>
      <w:szCs w:val="16"/>
    </w:rPr>
  </w:style>
  <w:style w:type="paragraph" w:styleId="Textocomentario">
    <w:name w:val="annotation text"/>
    <w:basedOn w:val="Normal"/>
    <w:link w:val="TextocomentarioCar"/>
    <w:uiPriority w:val="99"/>
    <w:semiHidden/>
    <w:unhideWhenUsed/>
    <w:rsid w:val="006716A0"/>
    <w:pPr>
      <w:spacing w:line="240" w:lineRule="auto"/>
    </w:pPr>
    <w:rPr>
      <w:sz w:val="20"/>
      <w:szCs w:val="20"/>
    </w:rPr>
  </w:style>
  <w:style w:type="character" w:customStyle="1" w:styleId="TextocomentarioCar">
    <w:name w:val="Texto comentario Car"/>
    <w:link w:val="Textocomentario"/>
    <w:uiPriority w:val="99"/>
    <w:semiHidden/>
    <w:rsid w:val="006716A0"/>
    <w:rPr>
      <w:sz w:val="20"/>
      <w:szCs w:val="20"/>
    </w:rPr>
  </w:style>
  <w:style w:type="paragraph" w:styleId="Asuntodelcomentario">
    <w:name w:val="annotation subject"/>
    <w:basedOn w:val="Textocomentario"/>
    <w:next w:val="Textocomentario"/>
    <w:link w:val="AsuntodelcomentarioCar"/>
    <w:uiPriority w:val="99"/>
    <w:semiHidden/>
    <w:unhideWhenUsed/>
    <w:rsid w:val="006716A0"/>
    <w:rPr>
      <w:b/>
      <w:bCs/>
    </w:rPr>
  </w:style>
  <w:style w:type="character" w:customStyle="1" w:styleId="AsuntodelcomentarioCar">
    <w:name w:val="Asunto del comentario Car"/>
    <w:link w:val="Asuntodelcomentario"/>
    <w:uiPriority w:val="99"/>
    <w:semiHidden/>
    <w:rsid w:val="006716A0"/>
    <w:rPr>
      <w:b/>
      <w:bCs/>
      <w:sz w:val="20"/>
      <w:szCs w:val="20"/>
    </w:rPr>
  </w:style>
  <w:style w:type="table" w:styleId="Tablaconcuadrcula">
    <w:name w:val="Table Grid"/>
    <w:basedOn w:val="Tablanormal"/>
    <w:uiPriority w:val="99"/>
    <w:rsid w:val="00166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66F0E"/>
    <w:rPr>
      <w:sz w:val="22"/>
      <w:szCs w:val="22"/>
      <w:lang w:eastAsia="en-US"/>
    </w:rPr>
  </w:style>
  <w:style w:type="character" w:customStyle="1" w:styleId="Ttulo1Car">
    <w:name w:val="Título 1 Car"/>
    <w:basedOn w:val="Fuentedeprrafopredeter"/>
    <w:link w:val="Ttulo1"/>
    <w:uiPriority w:val="9"/>
    <w:rsid w:val="00073315"/>
    <w:rPr>
      <w:rFonts w:ascii="Times New Roman" w:eastAsiaTheme="majorEastAsia" w:hAnsi="Times New Roman" w:cstheme="majorBidi"/>
      <w:b/>
      <w:color w:val="1F3864" w:themeColor="accent1" w:themeShade="80"/>
      <w:spacing w:val="-2"/>
      <w:sz w:val="26"/>
      <w:szCs w:val="32"/>
      <w:lang w:eastAsia="en-US"/>
    </w:rPr>
  </w:style>
  <w:style w:type="paragraph" w:styleId="Subttulo">
    <w:name w:val="Subtitle"/>
    <w:basedOn w:val="Normal"/>
    <w:next w:val="Normal"/>
    <w:link w:val="SubttuloCar"/>
    <w:uiPriority w:val="11"/>
    <w:qFormat/>
    <w:rsid w:val="00DB2119"/>
    <w:pPr>
      <w:numPr>
        <w:numId w:val="18"/>
      </w:numPr>
      <w:spacing w:after="0"/>
    </w:pPr>
    <w:rPr>
      <w:rFonts w:ascii="Times New Roman" w:eastAsiaTheme="minorEastAsia" w:hAnsi="Times New Roman" w:cstheme="minorBidi"/>
      <w:b/>
      <w:color w:val="1F3864" w:themeColor="accent1" w:themeShade="80"/>
      <w:spacing w:val="15"/>
      <w:sz w:val="24"/>
    </w:rPr>
  </w:style>
  <w:style w:type="character" w:customStyle="1" w:styleId="SubttuloCar">
    <w:name w:val="Subtítulo Car"/>
    <w:basedOn w:val="Fuentedeprrafopredeter"/>
    <w:link w:val="Subttulo"/>
    <w:uiPriority w:val="11"/>
    <w:rsid w:val="00DB2119"/>
    <w:rPr>
      <w:rFonts w:ascii="Times New Roman" w:eastAsiaTheme="minorEastAsia" w:hAnsi="Times New Roman" w:cstheme="minorBidi"/>
      <w:b/>
      <w:color w:val="1F3864" w:themeColor="accent1" w:themeShade="80"/>
      <w:spacing w:val="15"/>
      <w:sz w:val="24"/>
      <w:szCs w:val="22"/>
      <w:lang w:eastAsia="en-US"/>
    </w:rPr>
  </w:style>
  <w:style w:type="paragraph" w:styleId="TtulodeTDC">
    <w:name w:val="TOC Heading"/>
    <w:basedOn w:val="Ttulo1"/>
    <w:next w:val="Normal"/>
    <w:uiPriority w:val="39"/>
    <w:unhideWhenUsed/>
    <w:qFormat/>
    <w:rsid w:val="00DB2119"/>
    <w:pPr>
      <w:spacing w:before="24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DB2119"/>
    <w:pPr>
      <w:spacing w:after="100"/>
    </w:pPr>
  </w:style>
  <w:style w:type="paragraph" w:styleId="TDC2">
    <w:name w:val="toc 2"/>
    <w:basedOn w:val="Normal"/>
    <w:next w:val="Normal"/>
    <w:autoRedefine/>
    <w:uiPriority w:val="39"/>
    <w:unhideWhenUsed/>
    <w:rsid w:val="00DB2119"/>
    <w:pPr>
      <w:spacing w:after="100"/>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DB2119"/>
    <w:pPr>
      <w:spacing w:after="100"/>
      <w:ind w:left="440"/>
    </w:pPr>
    <w:rPr>
      <w:rFonts w:asciiTheme="minorHAnsi" w:eastAsiaTheme="minorEastAsia" w:hAnsiTheme="minorHAnsi"/>
      <w:lang w:eastAsia="es-CO"/>
    </w:rPr>
  </w:style>
  <w:style w:type="paragraph" w:styleId="Puesto">
    <w:name w:val="Title"/>
    <w:basedOn w:val="Normal"/>
    <w:next w:val="Normal"/>
    <w:link w:val="PuestoCar"/>
    <w:uiPriority w:val="10"/>
    <w:qFormat/>
    <w:rsid w:val="00DB2119"/>
    <w:pPr>
      <w:spacing w:after="0" w:line="240" w:lineRule="auto"/>
      <w:contextualSpacing/>
      <w:jc w:val="both"/>
    </w:pPr>
    <w:rPr>
      <w:rFonts w:ascii="Times New Roman" w:eastAsiaTheme="majorEastAsia" w:hAnsi="Times New Roman" w:cstheme="majorBidi"/>
      <w:b/>
      <w:color w:val="1F3864" w:themeColor="accent1" w:themeShade="80"/>
      <w:spacing w:val="-10"/>
      <w:kern w:val="28"/>
      <w:sz w:val="26"/>
      <w:szCs w:val="56"/>
    </w:rPr>
  </w:style>
  <w:style w:type="character" w:customStyle="1" w:styleId="PuestoCar">
    <w:name w:val="Puesto Car"/>
    <w:basedOn w:val="Fuentedeprrafopredeter"/>
    <w:link w:val="Puesto"/>
    <w:uiPriority w:val="10"/>
    <w:rsid w:val="00DB2119"/>
    <w:rPr>
      <w:rFonts w:ascii="Times New Roman" w:eastAsiaTheme="majorEastAsia" w:hAnsi="Times New Roman" w:cstheme="majorBidi"/>
      <w:b/>
      <w:color w:val="1F3864" w:themeColor="accent1" w:themeShade="80"/>
      <w:spacing w:val="-10"/>
      <w:kern w:val="28"/>
      <w:sz w:val="26"/>
      <w:szCs w:val="56"/>
      <w:lang w:eastAsia="en-US"/>
    </w:rPr>
  </w:style>
  <w:style w:type="character" w:customStyle="1" w:styleId="Ttulo2Car">
    <w:name w:val="Título 2 Car"/>
    <w:basedOn w:val="Fuentedeprrafopredeter"/>
    <w:link w:val="Ttulo2"/>
    <w:uiPriority w:val="9"/>
    <w:rsid w:val="00CA0525"/>
    <w:rPr>
      <w:rFonts w:ascii="Times New Roman" w:eastAsiaTheme="majorEastAsia" w:hAnsi="Times New Roman" w:cstheme="majorBidi"/>
      <w:b/>
      <w:color w:val="1F3864" w:themeColor="accent1" w:themeShade="80"/>
      <w:sz w:val="24"/>
      <w:szCs w:val="26"/>
      <w:lang w:eastAsia="en-US"/>
    </w:rPr>
  </w:style>
  <w:style w:type="character" w:customStyle="1" w:styleId="Ttulo3Car">
    <w:name w:val="Título 3 Car"/>
    <w:basedOn w:val="Fuentedeprrafopredeter"/>
    <w:link w:val="Ttulo3"/>
    <w:uiPriority w:val="9"/>
    <w:rsid w:val="006C2A39"/>
    <w:rPr>
      <w:rFonts w:ascii="Times New Roman" w:eastAsiaTheme="majorEastAsia" w:hAnsi="Times New Roman" w:cstheme="majorBidi"/>
      <w:b/>
      <w:sz w:val="24"/>
      <w:szCs w:val="24"/>
      <w:lang w:eastAsia="en-US"/>
    </w:rPr>
  </w:style>
  <w:style w:type="paragraph" w:styleId="TDC4">
    <w:name w:val="toc 4"/>
    <w:basedOn w:val="Normal"/>
    <w:next w:val="Normal"/>
    <w:autoRedefine/>
    <w:uiPriority w:val="39"/>
    <w:unhideWhenUsed/>
    <w:rsid w:val="009A7096"/>
    <w:pPr>
      <w:spacing w:after="100"/>
      <w:ind w:left="660"/>
    </w:pPr>
    <w:rPr>
      <w:rFonts w:asciiTheme="minorHAnsi" w:eastAsiaTheme="minorEastAsia" w:hAnsiTheme="minorHAnsi" w:cstheme="minorBidi"/>
      <w:lang w:eastAsia="es-CO"/>
    </w:rPr>
  </w:style>
  <w:style w:type="paragraph" w:styleId="TDC5">
    <w:name w:val="toc 5"/>
    <w:basedOn w:val="Normal"/>
    <w:next w:val="Normal"/>
    <w:autoRedefine/>
    <w:uiPriority w:val="39"/>
    <w:unhideWhenUsed/>
    <w:rsid w:val="009A7096"/>
    <w:pPr>
      <w:spacing w:after="100"/>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9A7096"/>
    <w:pPr>
      <w:spacing w:after="100"/>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9A7096"/>
    <w:pPr>
      <w:spacing w:after="100"/>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9A7096"/>
    <w:pPr>
      <w:spacing w:after="100"/>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9A7096"/>
    <w:pPr>
      <w:spacing w:after="100"/>
      <w:ind w:left="1760"/>
    </w:pPr>
    <w:rPr>
      <w:rFonts w:asciiTheme="minorHAnsi" w:eastAsiaTheme="minorEastAsia" w:hAnsiTheme="minorHAnsi" w:cstheme="minorBidi"/>
      <w:lang w:eastAsia="es-CO"/>
    </w:rPr>
  </w:style>
  <w:style w:type="character" w:customStyle="1" w:styleId="UnresolvedMention">
    <w:name w:val="Unresolved Mention"/>
    <w:basedOn w:val="Fuentedeprrafopredeter"/>
    <w:uiPriority w:val="99"/>
    <w:semiHidden/>
    <w:unhideWhenUsed/>
    <w:rsid w:val="009A7096"/>
    <w:rPr>
      <w:color w:val="605E5C"/>
      <w:shd w:val="clear" w:color="auto" w:fill="E1DFDD"/>
    </w:rPr>
  </w:style>
  <w:style w:type="character" w:styleId="Textoennegrita">
    <w:name w:val="Strong"/>
    <w:basedOn w:val="Fuentedeprrafopredeter"/>
    <w:uiPriority w:val="22"/>
    <w:qFormat/>
    <w:rsid w:val="001F4D21"/>
    <w:rPr>
      <w:b/>
      <w:bCs/>
    </w:rPr>
  </w:style>
  <w:style w:type="table" w:customStyle="1" w:styleId="TableNormal">
    <w:name w:val="Table Normal"/>
    <w:rsid w:val="00294AFD"/>
    <w:pPr>
      <w:spacing w:after="160" w:line="259" w:lineRule="auto"/>
    </w:pPr>
    <w:rPr>
      <w:rFonts w:cs="Calibri"/>
      <w:sz w:val="22"/>
      <w:szCs w:val="22"/>
    </w:rPr>
    <w:tblPr>
      <w:tblCellMar>
        <w:top w:w="0" w:type="dxa"/>
        <w:left w:w="0" w:type="dxa"/>
        <w:bottom w:w="0" w:type="dxa"/>
        <w:right w:w="0" w:type="dxa"/>
      </w:tblCellMar>
    </w:tblPr>
  </w:style>
  <w:style w:type="character" w:customStyle="1" w:styleId="PrrafodelistaCar">
    <w:name w:val="Párrafo de lista Car"/>
    <w:aliases w:val="LISTA Car,Párrafo de lista11 Car,EY EPM - Lista Car"/>
    <w:link w:val="Prrafodelista"/>
    <w:uiPriority w:val="34"/>
    <w:qFormat/>
    <w:rsid w:val="0089388F"/>
    <w:rPr>
      <w:sz w:val="22"/>
      <w:szCs w:val="22"/>
      <w:lang w:eastAsia="en-US"/>
    </w:rPr>
  </w:style>
  <w:style w:type="paragraph" w:styleId="NormalWeb">
    <w:name w:val="Normal (Web)"/>
    <w:basedOn w:val="Normal"/>
    <w:uiPriority w:val="99"/>
    <w:semiHidden/>
    <w:unhideWhenUsed/>
    <w:rsid w:val="00823F72"/>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
    <w:name w:val="Default"/>
    <w:rsid w:val="00823F72"/>
    <w:pPr>
      <w:autoSpaceDE w:val="0"/>
      <w:autoSpaceDN w:val="0"/>
      <w:adjustRightInd w:val="0"/>
    </w:pPr>
    <w:rPr>
      <w:rFonts w:ascii="Arial" w:eastAsiaTheme="minorHAnsi" w:hAnsi="Arial" w:cs="Arial"/>
      <w:color w:val="000000"/>
      <w:sz w:val="24"/>
      <w:szCs w:val="24"/>
      <w:lang w:eastAsia="en-US"/>
    </w:rPr>
  </w:style>
  <w:style w:type="paragraph" w:customStyle="1" w:styleId="m1431249991345761887gmail-msonormal">
    <w:name w:val="m_1431249991345761887gmail-msonormal"/>
    <w:basedOn w:val="Normal"/>
    <w:rsid w:val="00DA242E"/>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visitado">
    <w:name w:val="FollowedHyperlink"/>
    <w:basedOn w:val="Fuentedeprrafopredeter"/>
    <w:uiPriority w:val="99"/>
    <w:semiHidden/>
    <w:unhideWhenUsed/>
    <w:rsid w:val="00826439"/>
    <w:rPr>
      <w:color w:val="954F72"/>
      <w:u w:val="single"/>
    </w:rPr>
  </w:style>
  <w:style w:type="paragraph" w:customStyle="1" w:styleId="xl65">
    <w:name w:val="xl65"/>
    <w:basedOn w:val="Normal"/>
    <w:rsid w:val="00826439"/>
    <w:pPr>
      <w:spacing w:before="100" w:beforeAutospacing="1" w:after="100" w:afterAutospacing="1" w:line="240" w:lineRule="auto"/>
    </w:pPr>
    <w:rPr>
      <w:rFonts w:ascii="Calibri Light" w:eastAsia="Times New Roman" w:hAnsi="Calibri Light"/>
      <w:sz w:val="24"/>
      <w:szCs w:val="24"/>
      <w:lang w:eastAsia="es-CO"/>
    </w:rPr>
  </w:style>
  <w:style w:type="paragraph" w:customStyle="1" w:styleId="xl66">
    <w:name w:val="xl66"/>
    <w:basedOn w:val="Normal"/>
    <w:rsid w:val="00826439"/>
    <w:pPr>
      <w:spacing w:before="100" w:beforeAutospacing="1" w:after="100" w:afterAutospacing="1" w:line="240" w:lineRule="auto"/>
    </w:pPr>
    <w:rPr>
      <w:rFonts w:ascii="Calibri Light" w:eastAsia="Times New Roman" w:hAnsi="Calibri Light"/>
      <w:b/>
      <w:bCs/>
      <w:sz w:val="24"/>
      <w:szCs w:val="24"/>
      <w:lang w:eastAsia="es-CO"/>
    </w:rPr>
  </w:style>
  <w:style w:type="paragraph" w:customStyle="1" w:styleId="xl67">
    <w:name w:val="xl67"/>
    <w:basedOn w:val="Normal"/>
    <w:rsid w:val="00826439"/>
    <w:pPr>
      <w:spacing w:before="100" w:beforeAutospacing="1" w:after="100" w:afterAutospacing="1" w:line="240" w:lineRule="auto"/>
      <w:jc w:val="center"/>
    </w:pPr>
    <w:rPr>
      <w:rFonts w:ascii="Calibri Light" w:eastAsia="Times New Roman" w:hAnsi="Calibri Light"/>
      <w:sz w:val="24"/>
      <w:szCs w:val="24"/>
      <w:lang w:eastAsia="es-CO"/>
    </w:rPr>
  </w:style>
  <w:style w:type="paragraph" w:customStyle="1" w:styleId="xl68">
    <w:name w:val="xl68"/>
    <w:basedOn w:val="Normal"/>
    <w:rsid w:val="00826439"/>
    <w:pPr>
      <w:spacing w:before="100" w:beforeAutospacing="1" w:after="100" w:afterAutospacing="1" w:line="240" w:lineRule="auto"/>
    </w:pPr>
    <w:rPr>
      <w:rFonts w:ascii="Calibri Light" w:eastAsia="Times New Roman" w:hAnsi="Calibri Light"/>
      <w:b/>
      <w:bCs/>
      <w:sz w:val="24"/>
      <w:szCs w:val="24"/>
      <w:lang w:eastAsia="es-CO"/>
    </w:rPr>
  </w:style>
  <w:style w:type="paragraph" w:customStyle="1" w:styleId="xl69">
    <w:name w:val="xl69"/>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sz w:val="12"/>
      <w:szCs w:val="12"/>
      <w:lang w:eastAsia="es-CO"/>
    </w:rPr>
  </w:style>
  <w:style w:type="paragraph" w:customStyle="1" w:styleId="xl70">
    <w:name w:val="xl70"/>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sz w:val="12"/>
      <w:szCs w:val="12"/>
      <w:lang w:eastAsia="es-CO"/>
    </w:rPr>
  </w:style>
  <w:style w:type="paragraph" w:customStyle="1" w:styleId="xl71">
    <w:name w:val="xl71"/>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2"/>
      <w:szCs w:val="12"/>
      <w:lang w:eastAsia="es-CO"/>
    </w:rPr>
  </w:style>
  <w:style w:type="paragraph" w:customStyle="1" w:styleId="xl72">
    <w:name w:val="xl72"/>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2"/>
      <w:szCs w:val="12"/>
      <w:lang w:eastAsia="es-CO"/>
    </w:rPr>
  </w:style>
  <w:style w:type="paragraph" w:customStyle="1" w:styleId="xl73">
    <w:name w:val="xl73"/>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2"/>
      <w:szCs w:val="12"/>
      <w:lang w:eastAsia="es-CO"/>
    </w:rPr>
  </w:style>
  <w:style w:type="paragraph" w:customStyle="1" w:styleId="xl74">
    <w:name w:val="xl74"/>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2"/>
      <w:szCs w:val="12"/>
      <w:lang w:eastAsia="es-CO"/>
    </w:rPr>
  </w:style>
  <w:style w:type="paragraph" w:customStyle="1" w:styleId="xl75">
    <w:name w:val="xl75"/>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76">
    <w:name w:val="xl76"/>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77">
    <w:name w:val="xl77"/>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78">
    <w:name w:val="xl78"/>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79">
    <w:name w:val="xl79"/>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es-CO"/>
    </w:rPr>
  </w:style>
  <w:style w:type="paragraph" w:customStyle="1" w:styleId="xl80">
    <w:name w:val="xl80"/>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es-CO"/>
    </w:rPr>
  </w:style>
  <w:style w:type="paragraph" w:customStyle="1" w:styleId="xl81">
    <w:name w:val="xl81"/>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82">
    <w:name w:val="xl82"/>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83">
    <w:name w:val="xl83"/>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84">
    <w:name w:val="xl84"/>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es-CO"/>
    </w:rPr>
  </w:style>
  <w:style w:type="paragraph" w:customStyle="1" w:styleId="xl85">
    <w:name w:val="xl85"/>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es-CO"/>
    </w:rPr>
  </w:style>
  <w:style w:type="paragraph" w:customStyle="1" w:styleId="xl86">
    <w:name w:val="xl86"/>
    <w:basedOn w:val="Normal"/>
    <w:rsid w:val="0082643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87">
    <w:name w:val="xl87"/>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2"/>
      <w:szCs w:val="12"/>
      <w:lang w:eastAsia="es-CO"/>
    </w:rPr>
  </w:style>
  <w:style w:type="paragraph" w:customStyle="1" w:styleId="xl88">
    <w:name w:val="xl88"/>
    <w:basedOn w:val="Normal"/>
    <w:rsid w:val="0082643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89">
    <w:name w:val="xl89"/>
    <w:basedOn w:val="Normal"/>
    <w:rsid w:val="008264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90">
    <w:name w:val="xl90"/>
    <w:basedOn w:val="Normal"/>
    <w:rsid w:val="0082643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91">
    <w:name w:val="xl91"/>
    <w:basedOn w:val="Normal"/>
    <w:rsid w:val="008264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92">
    <w:name w:val="xl92"/>
    <w:basedOn w:val="Normal"/>
    <w:rsid w:val="00826439"/>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93">
    <w:name w:val="xl93"/>
    <w:basedOn w:val="Normal"/>
    <w:rsid w:val="008264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es-CO"/>
    </w:rPr>
  </w:style>
  <w:style w:type="paragraph" w:customStyle="1" w:styleId="xl94">
    <w:name w:val="xl94"/>
    <w:basedOn w:val="Normal"/>
    <w:rsid w:val="008264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es-CO"/>
    </w:rPr>
  </w:style>
  <w:style w:type="paragraph" w:customStyle="1" w:styleId="xl95">
    <w:name w:val="xl95"/>
    <w:basedOn w:val="Normal"/>
    <w:rsid w:val="0082643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eastAsia="es-CO"/>
    </w:rPr>
  </w:style>
  <w:style w:type="paragraph" w:customStyle="1" w:styleId="xl96">
    <w:name w:val="xl96"/>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eastAsia="es-CO"/>
    </w:rPr>
  </w:style>
  <w:style w:type="paragraph" w:customStyle="1" w:styleId="xl97">
    <w:name w:val="xl97"/>
    <w:basedOn w:val="Normal"/>
    <w:rsid w:val="008264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es-CO"/>
    </w:rPr>
  </w:style>
  <w:style w:type="paragraph" w:customStyle="1" w:styleId="xl98">
    <w:name w:val="xl98"/>
    <w:basedOn w:val="Normal"/>
    <w:rsid w:val="008264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b/>
      <w:bCs/>
      <w:sz w:val="12"/>
      <w:szCs w:val="12"/>
      <w:lang w:eastAsia="es-CO"/>
    </w:rPr>
  </w:style>
  <w:style w:type="paragraph" w:customStyle="1" w:styleId="xl99">
    <w:name w:val="xl99"/>
    <w:basedOn w:val="Normal"/>
    <w:rsid w:val="00826439"/>
    <w:pPr>
      <w:spacing w:before="100" w:beforeAutospacing="1" w:after="100" w:afterAutospacing="1" w:line="240" w:lineRule="auto"/>
      <w:jc w:val="right"/>
    </w:pPr>
    <w:rPr>
      <w:rFonts w:ascii="Calibri Light" w:eastAsia="Times New Roman" w:hAnsi="Calibri Light"/>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2648">
      <w:bodyDiv w:val="1"/>
      <w:marLeft w:val="0"/>
      <w:marRight w:val="0"/>
      <w:marTop w:val="0"/>
      <w:marBottom w:val="0"/>
      <w:divBdr>
        <w:top w:val="none" w:sz="0" w:space="0" w:color="auto"/>
        <w:left w:val="none" w:sz="0" w:space="0" w:color="auto"/>
        <w:bottom w:val="none" w:sz="0" w:space="0" w:color="auto"/>
        <w:right w:val="none" w:sz="0" w:space="0" w:color="auto"/>
      </w:divBdr>
    </w:div>
    <w:div w:id="85659407">
      <w:bodyDiv w:val="1"/>
      <w:marLeft w:val="0"/>
      <w:marRight w:val="0"/>
      <w:marTop w:val="0"/>
      <w:marBottom w:val="0"/>
      <w:divBdr>
        <w:top w:val="none" w:sz="0" w:space="0" w:color="auto"/>
        <w:left w:val="none" w:sz="0" w:space="0" w:color="auto"/>
        <w:bottom w:val="none" w:sz="0" w:space="0" w:color="auto"/>
        <w:right w:val="none" w:sz="0" w:space="0" w:color="auto"/>
      </w:divBdr>
    </w:div>
    <w:div w:id="106388162">
      <w:bodyDiv w:val="1"/>
      <w:marLeft w:val="0"/>
      <w:marRight w:val="0"/>
      <w:marTop w:val="0"/>
      <w:marBottom w:val="0"/>
      <w:divBdr>
        <w:top w:val="none" w:sz="0" w:space="0" w:color="auto"/>
        <w:left w:val="none" w:sz="0" w:space="0" w:color="auto"/>
        <w:bottom w:val="none" w:sz="0" w:space="0" w:color="auto"/>
        <w:right w:val="none" w:sz="0" w:space="0" w:color="auto"/>
      </w:divBdr>
    </w:div>
    <w:div w:id="111287387">
      <w:bodyDiv w:val="1"/>
      <w:marLeft w:val="0"/>
      <w:marRight w:val="0"/>
      <w:marTop w:val="0"/>
      <w:marBottom w:val="0"/>
      <w:divBdr>
        <w:top w:val="none" w:sz="0" w:space="0" w:color="auto"/>
        <w:left w:val="none" w:sz="0" w:space="0" w:color="auto"/>
        <w:bottom w:val="none" w:sz="0" w:space="0" w:color="auto"/>
        <w:right w:val="none" w:sz="0" w:space="0" w:color="auto"/>
      </w:divBdr>
    </w:div>
    <w:div w:id="136268849">
      <w:bodyDiv w:val="1"/>
      <w:marLeft w:val="0"/>
      <w:marRight w:val="0"/>
      <w:marTop w:val="0"/>
      <w:marBottom w:val="0"/>
      <w:divBdr>
        <w:top w:val="none" w:sz="0" w:space="0" w:color="auto"/>
        <w:left w:val="none" w:sz="0" w:space="0" w:color="auto"/>
        <w:bottom w:val="none" w:sz="0" w:space="0" w:color="auto"/>
        <w:right w:val="none" w:sz="0" w:space="0" w:color="auto"/>
      </w:divBdr>
    </w:div>
    <w:div w:id="139347913">
      <w:bodyDiv w:val="1"/>
      <w:marLeft w:val="0"/>
      <w:marRight w:val="0"/>
      <w:marTop w:val="0"/>
      <w:marBottom w:val="0"/>
      <w:divBdr>
        <w:top w:val="none" w:sz="0" w:space="0" w:color="auto"/>
        <w:left w:val="none" w:sz="0" w:space="0" w:color="auto"/>
        <w:bottom w:val="none" w:sz="0" w:space="0" w:color="auto"/>
        <w:right w:val="none" w:sz="0" w:space="0" w:color="auto"/>
      </w:divBdr>
    </w:div>
    <w:div w:id="148715238">
      <w:bodyDiv w:val="1"/>
      <w:marLeft w:val="0"/>
      <w:marRight w:val="0"/>
      <w:marTop w:val="0"/>
      <w:marBottom w:val="0"/>
      <w:divBdr>
        <w:top w:val="none" w:sz="0" w:space="0" w:color="auto"/>
        <w:left w:val="none" w:sz="0" w:space="0" w:color="auto"/>
        <w:bottom w:val="none" w:sz="0" w:space="0" w:color="auto"/>
        <w:right w:val="none" w:sz="0" w:space="0" w:color="auto"/>
      </w:divBdr>
    </w:div>
    <w:div w:id="213010092">
      <w:bodyDiv w:val="1"/>
      <w:marLeft w:val="0"/>
      <w:marRight w:val="0"/>
      <w:marTop w:val="0"/>
      <w:marBottom w:val="0"/>
      <w:divBdr>
        <w:top w:val="none" w:sz="0" w:space="0" w:color="auto"/>
        <w:left w:val="none" w:sz="0" w:space="0" w:color="auto"/>
        <w:bottom w:val="none" w:sz="0" w:space="0" w:color="auto"/>
        <w:right w:val="none" w:sz="0" w:space="0" w:color="auto"/>
      </w:divBdr>
    </w:div>
    <w:div w:id="262543570">
      <w:bodyDiv w:val="1"/>
      <w:marLeft w:val="0"/>
      <w:marRight w:val="0"/>
      <w:marTop w:val="0"/>
      <w:marBottom w:val="0"/>
      <w:divBdr>
        <w:top w:val="none" w:sz="0" w:space="0" w:color="auto"/>
        <w:left w:val="none" w:sz="0" w:space="0" w:color="auto"/>
        <w:bottom w:val="none" w:sz="0" w:space="0" w:color="auto"/>
        <w:right w:val="none" w:sz="0" w:space="0" w:color="auto"/>
      </w:divBdr>
    </w:div>
    <w:div w:id="293758820">
      <w:bodyDiv w:val="1"/>
      <w:marLeft w:val="0"/>
      <w:marRight w:val="0"/>
      <w:marTop w:val="0"/>
      <w:marBottom w:val="0"/>
      <w:divBdr>
        <w:top w:val="none" w:sz="0" w:space="0" w:color="auto"/>
        <w:left w:val="none" w:sz="0" w:space="0" w:color="auto"/>
        <w:bottom w:val="none" w:sz="0" w:space="0" w:color="auto"/>
        <w:right w:val="none" w:sz="0" w:space="0" w:color="auto"/>
      </w:divBdr>
    </w:div>
    <w:div w:id="344092480">
      <w:bodyDiv w:val="1"/>
      <w:marLeft w:val="0"/>
      <w:marRight w:val="0"/>
      <w:marTop w:val="0"/>
      <w:marBottom w:val="0"/>
      <w:divBdr>
        <w:top w:val="none" w:sz="0" w:space="0" w:color="auto"/>
        <w:left w:val="none" w:sz="0" w:space="0" w:color="auto"/>
        <w:bottom w:val="none" w:sz="0" w:space="0" w:color="auto"/>
        <w:right w:val="none" w:sz="0" w:space="0" w:color="auto"/>
      </w:divBdr>
    </w:div>
    <w:div w:id="395052907">
      <w:bodyDiv w:val="1"/>
      <w:marLeft w:val="0"/>
      <w:marRight w:val="0"/>
      <w:marTop w:val="0"/>
      <w:marBottom w:val="0"/>
      <w:divBdr>
        <w:top w:val="none" w:sz="0" w:space="0" w:color="auto"/>
        <w:left w:val="none" w:sz="0" w:space="0" w:color="auto"/>
        <w:bottom w:val="none" w:sz="0" w:space="0" w:color="auto"/>
        <w:right w:val="none" w:sz="0" w:space="0" w:color="auto"/>
      </w:divBdr>
    </w:div>
    <w:div w:id="463237512">
      <w:bodyDiv w:val="1"/>
      <w:marLeft w:val="0"/>
      <w:marRight w:val="0"/>
      <w:marTop w:val="0"/>
      <w:marBottom w:val="0"/>
      <w:divBdr>
        <w:top w:val="none" w:sz="0" w:space="0" w:color="auto"/>
        <w:left w:val="none" w:sz="0" w:space="0" w:color="auto"/>
        <w:bottom w:val="none" w:sz="0" w:space="0" w:color="auto"/>
        <w:right w:val="none" w:sz="0" w:space="0" w:color="auto"/>
      </w:divBdr>
    </w:div>
    <w:div w:id="470832053">
      <w:bodyDiv w:val="1"/>
      <w:marLeft w:val="0"/>
      <w:marRight w:val="0"/>
      <w:marTop w:val="0"/>
      <w:marBottom w:val="0"/>
      <w:divBdr>
        <w:top w:val="none" w:sz="0" w:space="0" w:color="auto"/>
        <w:left w:val="none" w:sz="0" w:space="0" w:color="auto"/>
        <w:bottom w:val="none" w:sz="0" w:space="0" w:color="auto"/>
        <w:right w:val="none" w:sz="0" w:space="0" w:color="auto"/>
      </w:divBdr>
    </w:div>
    <w:div w:id="570699894">
      <w:bodyDiv w:val="1"/>
      <w:marLeft w:val="0"/>
      <w:marRight w:val="0"/>
      <w:marTop w:val="0"/>
      <w:marBottom w:val="0"/>
      <w:divBdr>
        <w:top w:val="none" w:sz="0" w:space="0" w:color="auto"/>
        <w:left w:val="none" w:sz="0" w:space="0" w:color="auto"/>
        <w:bottom w:val="none" w:sz="0" w:space="0" w:color="auto"/>
        <w:right w:val="none" w:sz="0" w:space="0" w:color="auto"/>
      </w:divBdr>
    </w:div>
    <w:div w:id="573470899">
      <w:bodyDiv w:val="1"/>
      <w:marLeft w:val="0"/>
      <w:marRight w:val="0"/>
      <w:marTop w:val="0"/>
      <w:marBottom w:val="0"/>
      <w:divBdr>
        <w:top w:val="none" w:sz="0" w:space="0" w:color="auto"/>
        <w:left w:val="none" w:sz="0" w:space="0" w:color="auto"/>
        <w:bottom w:val="none" w:sz="0" w:space="0" w:color="auto"/>
        <w:right w:val="none" w:sz="0" w:space="0" w:color="auto"/>
      </w:divBdr>
    </w:div>
    <w:div w:id="591008334">
      <w:bodyDiv w:val="1"/>
      <w:marLeft w:val="0"/>
      <w:marRight w:val="0"/>
      <w:marTop w:val="0"/>
      <w:marBottom w:val="0"/>
      <w:divBdr>
        <w:top w:val="none" w:sz="0" w:space="0" w:color="auto"/>
        <w:left w:val="none" w:sz="0" w:space="0" w:color="auto"/>
        <w:bottom w:val="none" w:sz="0" w:space="0" w:color="auto"/>
        <w:right w:val="none" w:sz="0" w:space="0" w:color="auto"/>
      </w:divBdr>
    </w:div>
    <w:div w:id="614096744">
      <w:bodyDiv w:val="1"/>
      <w:marLeft w:val="0"/>
      <w:marRight w:val="0"/>
      <w:marTop w:val="0"/>
      <w:marBottom w:val="0"/>
      <w:divBdr>
        <w:top w:val="none" w:sz="0" w:space="0" w:color="auto"/>
        <w:left w:val="none" w:sz="0" w:space="0" w:color="auto"/>
        <w:bottom w:val="none" w:sz="0" w:space="0" w:color="auto"/>
        <w:right w:val="none" w:sz="0" w:space="0" w:color="auto"/>
      </w:divBdr>
      <w:divsChild>
        <w:div w:id="392316219">
          <w:marLeft w:val="0"/>
          <w:marRight w:val="0"/>
          <w:marTop w:val="0"/>
          <w:marBottom w:val="0"/>
          <w:divBdr>
            <w:top w:val="none" w:sz="0" w:space="0" w:color="auto"/>
            <w:left w:val="none" w:sz="0" w:space="0" w:color="auto"/>
            <w:bottom w:val="none" w:sz="0" w:space="0" w:color="auto"/>
            <w:right w:val="none" w:sz="0" w:space="0" w:color="auto"/>
          </w:divBdr>
        </w:div>
        <w:div w:id="34620343">
          <w:marLeft w:val="0"/>
          <w:marRight w:val="0"/>
          <w:marTop w:val="0"/>
          <w:marBottom w:val="0"/>
          <w:divBdr>
            <w:top w:val="none" w:sz="0" w:space="0" w:color="auto"/>
            <w:left w:val="none" w:sz="0" w:space="0" w:color="auto"/>
            <w:bottom w:val="none" w:sz="0" w:space="0" w:color="auto"/>
            <w:right w:val="none" w:sz="0" w:space="0" w:color="auto"/>
          </w:divBdr>
        </w:div>
        <w:div w:id="1329752432">
          <w:marLeft w:val="0"/>
          <w:marRight w:val="0"/>
          <w:marTop w:val="0"/>
          <w:marBottom w:val="0"/>
          <w:divBdr>
            <w:top w:val="none" w:sz="0" w:space="0" w:color="auto"/>
            <w:left w:val="none" w:sz="0" w:space="0" w:color="auto"/>
            <w:bottom w:val="none" w:sz="0" w:space="0" w:color="auto"/>
            <w:right w:val="none" w:sz="0" w:space="0" w:color="auto"/>
          </w:divBdr>
        </w:div>
      </w:divsChild>
    </w:div>
    <w:div w:id="646398273">
      <w:bodyDiv w:val="1"/>
      <w:marLeft w:val="0"/>
      <w:marRight w:val="0"/>
      <w:marTop w:val="0"/>
      <w:marBottom w:val="0"/>
      <w:divBdr>
        <w:top w:val="none" w:sz="0" w:space="0" w:color="auto"/>
        <w:left w:val="none" w:sz="0" w:space="0" w:color="auto"/>
        <w:bottom w:val="none" w:sz="0" w:space="0" w:color="auto"/>
        <w:right w:val="none" w:sz="0" w:space="0" w:color="auto"/>
      </w:divBdr>
    </w:div>
    <w:div w:id="711076134">
      <w:bodyDiv w:val="1"/>
      <w:marLeft w:val="0"/>
      <w:marRight w:val="0"/>
      <w:marTop w:val="0"/>
      <w:marBottom w:val="0"/>
      <w:divBdr>
        <w:top w:val="none" w:sz="0" w:space="0" w:color="auto"/>
        <w:left w:val="none" w:sz="0" w:space="0" w:color="auto"/>
        <w:bottom w:val="none" w:sz="0" w:space="0" w:color="auto"/>
        <w:right w:val="none" w:sz="0" w:space="0" w:color="auto"/>
      </w:divBdr>
    </w:div>
    <w:div w:id="713389332">
      <w:bodyDiv w:val="1"/>
      <w:marLeft w:val="0"/>
      <w:marRight w:val="0"/>
      <w:marTop w:val="0"/>
      <w:marBottom w:val="0"/>
      <w:divBdr>
        <w:top w:val="none" w:sz="0" w:space="0" w:color="auto"/>
        <w:left w:val="none" w:sz="0" w:space="0" w:color="auto"/>
        <w:bottom w:val="none" w:sz="0" w:space="0" w:color="auto"/>
        <w:right w:val="none" w:sz="0" w:space="0" w:color="auto"/>
      </w:divBdr>
    </w:div>
    <w:div w:id="726730495">
      <w:bodyDiv w:val="1"/>
      <w:marLeft w:val="0"/>
      <w:marRight w:val="0"/>
      <w:marTop w:val="0"/>
      <w:marBottom w:val="0"/>
      <w:divBdr>
        <w:top w:val="none" w:sz="0" w:space="0" w:color="auto"/>
        <w:left w:val="none" w:sz="0" w:space="0" w:color="auto"/>
        <w:bottom w:val="none" w:sz="0" w:space="0" w:color="auto"/>
        <w:right w:val="none" w:sz="0" w:space="0" w:color="auto"/>
      </w:divBdr>
    </w:div>
    <w:div w:id="731082553">
      <w:bodyDiv w:val="1"/>
      <w:marLeft w:val="0"/>
      <w:marRight w:val="0"/>
      <w:marTop w:val="0"/>
      <w:marBottom w:val="0"/>
      <w:divBdr>
        <w:top w:val="none" w:sz="0" w:space="0" w:color="auto"/>
        <w:left w:val="none" w:sz="0" w:space="0" w:color="auto"/>
        <w:bottom w:val="none" w:sz="0" w:space="0" w:color="auto"/>
        <w:right w:val="none" w:sz="0" w:space="0" w:color="auto"/>
      </w:divBdr>
    </w:div>
    <w:div w:id="866793117">
      <w:bodyDiv w:val="1"/>
      <w:marLeft w:val="0"/>
      <w:marRight w:val="0"/>
      <w:marTop w:val="0"/>
      <w:marBottom w:val="0"/>
      <w:divBdr>
        <w:top w:val="none" w:sz="0" w:space="0" w:color="auto"/>
        <w:left w:val="none" w:sz="0" w:space="0" w:color="auto"/>
        <w:bottom w:val="none" w:sz="0" w:space="0" w:color="auto"/>
        <w:right w:val="none" w:sz="0" w:space="0" w:color="auto"/>
      </w:divBdr>
    </w:div>
    <w:div w:id="888420181">
      <w:bodyDiv w:val="1"/>
      <w:marLeft w:val="0"/>
      <w:marRight w:val="0"/>
      <w:marTop w:val="0"/>
      <w:marBottom w:val="0"/>
      <w:divBdr>
        <w:top w:val="none" w:sz="0" w:space="0" w:color="auto"/>
        <w:left w:val="none" w:sz="0" w:space="0" w:color="auto"/>
        <w:bottom w:val="none" w:sz="0" w:space="0" w:color="auto"/>
        <w:right w:val="none" w:sz="0" w:space="0" w:color="auto"/>
      </w:divBdr>
    </w:div>
    <w:div w:id="993878867">
      <w:bodyDiv w:val="1"/>
      <w:marLeft w:val="0"/>
      <w:marRight w:val="0"/>
      <w:marTop w:val="0"/>
      <w:marBottom w:val="0"/>
      <w:divBdr>
        <w:top w:val="none" w:sz="0" w:space="0" w:color="auto"/>
        <w:left w:val="none" w:sz="0" w:space="0" w:color="auto"/>
        <w:bottom w:val="none" w:sz="0" w:space="0" w:color="auto"/>
        <w:right w:val="none" w:sz="0" w:space="0" w:color="auto"/>
      </w:divBdr>
    </w:div>
    <w:div w:id="1058238373">
      <w:bodyDiv w:val="1"/>
      <w:marLeft w:val="0"/>
      <w:marRight w:val="0"/>
      <w:marTop w:val="0"/>
      <w:marBottom w:val="0"/>
      <w:divBdr>
        <w:top w:val="none" w:sz="0" w:space="0" w:color="auto"/>
        <w:left w:val="none" w:sz="0" w:space="0" w:color="auto"/>
        <w:bottom w:val="none" w:sz="0" w:space="0" w:color="auto"/>
        <w:right w:val="none" w:sz="0" w:space="0" w:color="auto"/>
      </w:divBdr>
    </w:div>
    <w:div w:id="1148860458">
      <w:bodyDiv w:val="1"/>
      <w:marLeft w:val="0"/>
      <w:marRight w:val="0"/>
      <w:marTop w:val="0"/>
      <w:marBottom w:val="0"/>
      <w:divBdr>
        <w:top w:val="none" w:sz="0" w:space="0" w:color="auto"/>
        <w:left w:val="none" w:sz="0" w:space="0" w:color="auto"/>
        <w:bottom w:val="none" w:sz="0" w:space="0" w:color="auto"/>
        <w:right w:val="none" w:sz="0" w:space="0" w:color="auto"/>
      </w:divBdr>
    </w:div>
    <w:div w:id="1232236354">
      <w:bodyDiv w:val="1"/>
      <w:marLeft w:val="0"/>
      <w:marRight w:val="0"/>
      <w:marTop w:val="0"/>
      <w:marBottom w:val="0"/>
      <w:divBdr>
        <w:top w:val="none" w:sz="0" w:space="0" w:color="auto"/>
        <w:left w:val="none" w:sz="0" w:space="0" w:color="auto"/>
        <w:bottom w:val="none" w:sz="0" w:space="0" w:color="auto"/>
        <w:right w:val="none" w:sz="0" w:space="0" w:color="auto"/>
      </w:divBdr>
    </w:div>
    <w:div w:id="1235358135">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69436394">
      <w:bodyDiv w:val="1"/>
      <w:marLeft w:val="0"/>
      <w:marRight w:val="0"/>
      <w:marTop w:val="0"/>
      <w:marBottom w:val="0"/>
      <w:divBdr>
        <w:top w:val="none" w:sz="0" w:space="0" w:color="auto"/>
        <w:left w:val="none" w:sz="0" w:space="0" w:color="auto"/>
        <w:bottom w:val="none" w:sz="0" w:space="0" w:color="auto"/>
        <w:right w:val="none" w:sz="0" w:space="0" w:color="auto"/>
      </w:divBdr>
    </w:div>
    <w:div w:id="1285497965">
      <w:bodyDiv w:val="1"/>
      <w:marLeft w:val="0"/>
      <w:marRight w:val="0"/>
      <w:marTop w:val="0"/>
      <w:marBottom w:val="0"/>
      <w:divBdr>
        <w:top w:val="none" w:sz="0" w:space="0" w:color="auto"/>
        <w:left w:val="none" w:sz="0" w:space="0" w:color="auto"/>
        <w:bottom w:val="none" w:sz="0" w:space="0" w:color="auto"/>
        <w:right w:val="none" w:sz="0" w:space="0" w:color="auto"/>
      </w:divBdr>
    </w:div>
    <w:div w:id="1301299332">
      <w:bodyDiv w:val="1"/>
      <w:marLeft w:val="0"/>
      <w:marRight w:val="0"/>
      <w:marTop w:val="0"/>
      <w:marBottom w:val="0"/>
      <w:divBdr>
        <w:top w:val="none" w:sz="0" w:space="0" w:color="auto"/>
        <w:left w:val="none" w:sz="0" w:space="0" w:color="auto"/>
        <w:bottom w:val="none" w:sz="0" w:space="0" w:color="auto"/>
        <w:right w:val="none" w:sz="0" w:space="0" w:color="auto"/>
      </w:divBdr>
    </w:div>
    <w:div w:id="1301963379">
      <w:bodyDiv w:val="1"/>
      <w:marLeft w:val="0"/>
      <w:marRight w:val="0"/>
      <w:marTop w:val="0"/>
      <w:marBottom w:val="0"/>
      <w:divBdr>
        <w:top w:val="none" w:sz="0" w:space="0" w:color="auto"/>
        <w:left w:val="none" w:sz="0" w:space="0" w:color="auto"/>
        <w:bottom w:val="none" w:sz="0" w:space="0" w:color="auto"/>
        <w:right w:val="none" w:sz="0" w:space="0" w:color="auto"/>
      </w:divBdr>
    </w:div>
    <w:div w:id="1319072783">
      <w:bodyDiv w:val="1"/>
      <w:marLeft w:val="0"/>
      <w:marRight w:val="0"/>
      <w:marTop w:val="0"/>
      <w:marBottom w:val="0"/>
      <w:divBdr>
        <w:top w:val="none" w:sz="0" w:space="0" w:color="auto"/>
        <w:left w:val="none" w:sz="0" w:space="0" w:color="auto"/>
        <w:bottom w:val="none" w:sz="0" w:space="0" w:color="auto"/>
        <w:right w:val="none" w:sz="0" w:space="0" w:color="auto"/>
      </w:divBdr>
    </w:div>
    <w:div w:id="1347292561">
      <w:bodyDiv w:val="1"/>
      <w:marLeft w:val="0"/>
      <w:marRight w:val="0"/>
      <w:marTop w:val="0"/>
      <w:marBottom w:val="0"/>
      <w:divBdr>
        <w:top w:val="none" w:sz="0" w:space="0" w:color="auto"/>
        <w:left w:val="none" w:sz="0" w:space="0" w:color="auto"/>
        <w:bottom w:val="none" w:sz="0" w:space="0" w:color="auto"/>
        <w:right w:val="none" w:sz="0" w:space="0" w:color="auto"/>
      </w:divBdr>
    </w:div>
    <w:div w:id="1386834712">
      <w:bodyDiv w:val="1"/>
      <w:marLeft w:val="0"/>
      <w:marRight w:val="0"/>
      <w:marTop w:val="0"/>
      <w:marBottom w:val="0"/>
      <w:divBdr>
        <w:top w:val="none" w:sz="0" w:space="0" w:color="auto"/>
        <w:left w:val="none" w:sz="0" w:space="0" w:color="auto"/>
        <w:bottom w:val="none" w:sz="0" w:space="0" w:color="auto"/>
        <w:right w:val="none" w:sz="0" w:space="0" w:color="auto"/>
      </w:divBdr>
    </w:div>
    <w:div w:id="1431045419">
      <w:bodyDiv w:val="1"/>
      <w:marLeft w:val="0"/>
      <w:marRight w:val="0"/>
      <w:marTop w:val="0"/>
      <w:marBottom w:val="0"/>
      <w:divBdr>
        <w:top w:val="none" w:sz="0" w:space="0" w:color="auto"/>
        <w:left w:val="none" w:sz="0" w:space="0" w:color="auto"/>
        <w:bottom w:val="none" w:sz="0" w:space="0" w:color="auto"/>
        <w:right w:val="none" w:sz="0" w:space="0" w:color="auto"/>
      </w:divBdr>
    </w:div>
    <w:div w:id="1466966900">
      <w:bodyDiv w:val="1"/>
      <w:marLeft w:val="0"/>
      <w:marRight w:val="0"/>
      <w:marTop w:val="0"/>
      <w:marBottom w:val="0"/>
      <w:divBdr>
        <w:top w:val="none" w:sz="0" w:space="0" w:color="auto"/>
        <w:left w:val="none" w:sz="0" w:space="0" w:color="auto"/>
        <w:bottom w:val="none" w:sz="0" w:space="0" w:color="auto"/>
        <w:right w:val="none" w:sz="0" w:space="0" w:color="auto"/>
      </w:divBdr>
    </w:div>
    <w:div w:id="1481382737">
      <w:bodyDiv w:val="1"/>
      <w:marLeft w:val="0"/>
      <w:marRight w:val="0"/>
      <w:marTop w:val="0"/>
      <w:marBottom w:val="0"/>
      <w:divBdr>
        <w:top w:val="none" w:sz="0" w:space="0" w:color="auto"/>
        <w:left w:val="none" w:sz="0" w:space="0" w:color="auto"/>
        <w:bottom w:val="none" w:sz="0" w:space="0" w:color="auto"/>
        <w:right w:val="none" w:sz="0" w:space="0" w:color="auto"/>
      </w:divBdr>
    </w:div>
    <w:div w:id="1501845174">
      <w:bodyDiv w:val="1"/>
      <w:marLeft w:val="0"/>
      <w:marRight w:val="0"/>
      <w:marTop w:val="0"/>
      <w:marBottom w:val="0"/>
      <w:divBdr>
        <w:top w:val="none" w:sz="0" w:space="0" w:color="auto"/>
        <w:left w:val="none" w:sz="0" w:space="0" w:color="auto"/>
        <w:bottom w:val="none" w:sz="0" w:space="0" w:color="auto"/>
        <w:right w:val="none" w:sz="0" w:space="0" w:color="auto"/>
      </w:divBdr>
    </w:div>
    <w:div w:id="1520895603">
      <w:bodyDiv w:val="1"/>
      <w:marLeft w:val="0"/>
      <w:marRight w:val="0"/>
      <w:marTop w:val="0"/>
      <w:marBottom w:val="0"/>
      <w:divBdr>
        <w:top w:val="none" w:sz="0" w:space="0" w:color="auto"/>
        <w:left w:val="none" w:sz="0" w:space="0" w:color="auto"/>
        <w:bottom w:val="none" w:sz="0" w:space="0" w:color="auto"/>
        <w:right w:val="none" w:sz="0" w:space="0" w:color="auto"/>
      </w:divBdr>
    </w:div>
    <w:div w:id="1559588643">
      <w:bodyDiv w:val="1"/>
      <w:marLeft w:val="0"/>
      <w:marRight w:val="0"/>
      <w:marTop w:val="0"/>
      <w:marBottom w:val="0"/>
      <w:divBdr>
        <w:top w:val="none" w:sz="0" w:space="0" w:color="auto"/>
        <w:left w:val="none" w:sz="0" w:space="0" w:color="auto"/>
        <w:bottom w:val="none" w:sz="0" w:space="0" w:color="auto"/>
        <w:right w:val="none" w:sz="0" w:space="0" w:color="auto"/>
      </w:divBdr>
    </w:div>
    <w:div w:id="1561865093">
      <w:bodyDiv w:val="1"/>
      <w:marLeft w:val="0"/>
      <w:marRight w:val="0"/>
      <w:marTop w:val="0"/>
      <w:marBottom w:val="0"/>
      <w:divBdr>
        <w:top w:val="none" w:sz="0" w:space="0" w:color="auto"/>
        <w:left w:val="none" w:sz="0" w:space="0" w:color="auto"/>
        <w:bottom w:val="none" w:sz="0" w:space="0" w:color="auto"/>
        <w:right w:val="none" w:sz="0" w:space="0" w:color="auto"/>
      </w:divBdr>
    </w:div>
    <w:div w:id="1562251105">
      <w:bodyDiv w:val="1"/>
      <w:marLeft w:val="0"/>
      <w:marRight w:val="0"/>
      <w:marTop w:val="0"/>
      <w:marBottom w:val="0"/>
      <w:divBdr>
        <w:top w:val="none" w:sz="0" w:space="0" w:color="auto"/>
        <w:left w:val="none" w:sz="0" w:space="0" w:color="auto"/>
        <w:bottom w:val="none" w:sz="0" w:space="0" w:color="auto"/>
        <w:right w:val="none" w:sz="0" w:space="0" w:color="auto"/>
      </w:divBdr>
    </w:div>
    <w:div w:id="1640726120">
      <w:bodyDiv w:val="1"/>
      <w:marLeft w:val="0"/>
      <w:marRight w:val="0"/>
      <w:marTop w:val="0"/>
      <w:marBottom w:val="0"/>
      <w:divBdr>
        <w:top w:val="none" w:sz="0" w:space="0" w:color="auto"/>
        <w:left w:val="none" w:sz="0" w:space="0" w:color="auto"/>
        <w:bottom w:val="none" w:sz="0" w:space="0" w:color="auto"/>
        <w:right w:val="none" w:sz="0" w:space="0" w:color="auto"/>
      </w:divBdr>
    </w:div>
    <w:div w:id="1682003179">
      <w:bodyDiv w:val="1"/>
      <w:marLeft w:val="0"/>
      <w:marRight w:val="0"/>
      <w:marTop w:val="0"/>
      <w:marBottom w:val="0"/>
      <w:divBdr>
        <w:top w:val="none" w:sz="0" w:space="0" w:color="auto"/>
        <w:left w:val="none" w:sz="0" w:space="0" w:color="auto"/>
        <w:bottom w:val="none" w:sz="0" w:space="0" w:color="auto"/>
        <w:right w:val="none" w:sz="0" w:space="0" w:color="auto"/>
      </w:divBdr>
    </w:div>
    <w:div w:id="1754623757">
      <w:bodyDiv w:val="1"/>
      <w:marLeft w:val="0"/>
      <w:marRight w:val="0"/>
      <w:marTop w:val="0"/>
      <w:marBottom w:val="0"/>
      <w:divBdr>
        <w:top w:val="none" w:sz="0" w:space="0" w:color="auto"/>
        <w:left w:val="none" w:sz="0" w:space="0" w:color="auto"/>
        <w:bottom w:val="none" w:sz="0" w:space="0" w:color="auto"/>
        <w:right w:val="none" w:sz="0" w:space="0" w:color="auto"/>
      </w:divBdr>
    </w:div>
    <w:div w:id="1793203021">
      <w:bodyDiv w:val="1"/>
      <w:marLeft w:val="0"/>
      <w:marRight w:val="0"/>
      <w:marTop w:val="0"/>
      <w:marBottom w:val="0"/>
      <w:divBdr>
        <w:top w:val="none" w:sz="0" w:space="0" w:color="auto"/>
        <w:left w:val="none" w:sz="0" w:space="0" w:color="auto"/>
        <w:bottom w:val="none" w:sz="0" w:space="0" w:color="auto"/>
        <w:right w:val="none" w:sz="0" w:space="0" w:color="auto"/>
      </w:divBdr>
    </w:div>
    <w:div w:id="1822307128">
      <w:bodyDiv w:val="1"/>
      <w:marLeft w:val="0"/>
      <w:marRight w:val="0"/>
      <w:marTop w:val="0"/>
      <w:marBottom w:val="0"/>
      <w:divBdr>
        <w:top w:val="none" w:sz="0" w:space="0" w:color="auto"/>
        <w:left w:val="none" w:sz="0" w:space="0" w:color="auto"/>
        <w:bottom w:val="none" w:sz="0" w:space="0" w:color="auto"/>
        <w:right w:val="none" w:sz="0" w:space="0" w:color="auto"/>
      </w:divBdr>
    </w:div>
    <w:div w:id="1843230380">
      <w:bodyDiv w:val="1"/>
      <w:marLeft w:val="0"/>
      <w:marRight w:val="0"/>
      <w:marTop w:val="0"/>
      <w:marBottom w:val="0"/>
      <w:divBdr>
        <w:top w:val="none" w:sz="0" w:space="0" w:color="auto"/>
        <w:left w:val="none" w:sz="0" w:space="0" w:color="auto"/>
        <w:bottom w:val="none" w:sz="0" w:space="0" w:color="auto"/>
        <w:right w:val="none" w:sz="0" w:space="0" w:color="auto"/>
      </w:divBdr>
    </w:div>
    <w:div w:id="1858496122">
      <w:bodyDiv w:val="1"/>
      <w:marLeft w:val="0"/>
      <w:marRight w:val="0"/>
      <w:marTop w:val="0"/>
      <w:marBottom w:val="0"/>
      <w:divBdr>
        <w:top w:val="none" w:sz="0" w:space="0" w:color="auto"/>
        <w:left w:val="none" w:sz="0" w:space="0" w:color="auto"/>
        <w:bottom w:val="none" w:sz="0" w:space="0" w:color="auto"/>
        <w:right w:val="none" w:sz="0" w:space="0" w:color="auto"/>
      </w:divBdr>
    </w:div>
    <w:div w:id="1882668843">
      <w:bodyDiv w:val="1"/>
      <w:marLeft w:val="0"/>
      <w:marRight w:val="0"/>
      <w:marTop w:val="0"/>
      <w:marBottom w:val="0"/>
      <w:divBdr>
        <w:top w:val="none" w:sz="0" w:space="0" w:color="auto"/>
        <w:left w:val="none" w:sz="0" w:space="0" w:color="auto"/>
        <w:bottom w:val="none" w:sz="0" w:space="0" w:color="auto"/>
        <w:right w:val="none" w:sz="0" w:space="0" w:color="auto"/>
      </w:divBdr>
      <w:divsChild>
        <w:div w:id="1112244091">
          <w:marLeft w:val="0"/>
          <w:marRight w:val="0"/>
          <w:marTop w:val="0"/>
          <w:marBottom w:val="0"/>
          <w:divBdr>
            <w:top w:val="none" w:sz="0" w:space="0" w:color="auto"/>
            <w:left w:val="none" w:sz="0" w:space="0" w:color="auto"/>
            <w:bottom w:val="none" w:sz="0" w:space="0" w:color="auto"/>
            <w:right w:val="none" w:sz="0" w:space="0" w:color="auto"/>
          </w:divBdr>
        </w:div>
        <w:div w:id="1317763696">
          <w:marLeft w:val="0"/>
          <w:marRight w:val="0"/>
          <w:marTop w:val="0"/>
          <w:marBottom w:val="0"/>
          <w:divBdr>
            <w:top w:val="none" w:sz="0" w:space="0" w:color="auto"/>
            <w:left w:val="none" w:sz="0" w:space="0" w:color="auto"/>
            <w:bottom w:val="none" w:sz="0" w:space="0" w:color="auto"/>
            <w:right w:val="none" w:sz="0" w:space="0" w:color="auto"/>
          </w:divBdr>
        </w:div>
        <w:div w:id="1380395401">
          <w:marLeft w:val="0"/>
          <w:marRight w:val="0"/>
          <w:marTop w:val="0"/>
          <w:marBottom w:val="0"/>
          <w:divBdr>
            <w:top w:val="none" w:sz="0" w:space="0" w:color="auto"/>
            <w:left w:val="none" w:sz="0" w:space="0" w:color="auto"/>
            <w:bottom w:val="none" w:sz="0" w:space="0" w:color="auto"/>
            <w:right w:val="none" w:sz="0" w:space="0" w:color="auto"/>
          </w:divBdr>
        </w:div>
        <w:div w:id="225069564">
          <w:marLeft w:val="0"/>
          <w:marRight w:val="0"/>
          <w:marTop w:val="0"/>
          <w:marBottom w:val="0"/>
          <w:divBdr>
            <w:top w:val="none" w:sz="0" w:space="0" w:color="auto"/>
            <w:left w:val="none" w:sz="0" w:space="0" w:color="auto"/>
            <w:bottom w:val="none" w:sz="0" w:space="0" w:color="auto"/>
            <w:right w:val="none" w:sz="0" w:space="0" w:color="auto"/>
          </w:divBdr>
        </w:div>
        <w:div w:id="1502700017">
          <w:marLeft w:val="0"/>
          <w:marRight w:val="0"/>
          <w:marTop w:val="0"/>
          <w:marBottom w:val="0"/>
          <w:divBdr>
            <w:top w:val="none" w:sz="0" w:space="0" w:color="auto"/>
            <w:left w:val="none" w:sz="0" w:space="0" w:color="auto"/>
            <w:bottom w:val="none" w:sz="0" w:space="0" w:color="auto"/>
            <w:right w:val="none" w:sz="0" w:space="0" w:color="auto"/>
          </w:divBdr>
        </w:div>
      </w:divsChild>
    </w:div>
    <w:div w:id="1923834071">
      <w:bodyDiv w:val="1"/>
      <w:marLeft w:val="0"/>
      <w:marRight w:val="0"/>
      <w:marTop w:val="0"/>
      <w:marBottom w:val="0"/>
      <w:divBdr>
        <w:top w:val="none" w:sz="0" w:space="0" w:color="auto"/>
        <w:left w:val="none" w:sz="0" w:space="0" w:color="auto"/>
        <w:bottom w:val="none" w:sz="0" w:space="0" w:color="auto"/>
        <w:right w:val="none" w:sz="0" w:space="0" w:color="auto"/>
      </w:divBdr>
    </w:div>
    <w:div w:id="1978216005">
      <w:bodyDiv w:val="1"/>
      <w:marLeft w:val="0"/>
      <w:marRight w:val="0"/>
      <w:marTop w:val="0"/>
      <w:marBottom w:val="0"/>
      <w:divBdr>
        <w:top w:val="none" w:sz="0" w:space="0" w:color="auto"/>
        <w:left w:val="none" w:sz="0" w:space="0" w:color="auto"/>
        <w:bottom w:val="none" w:sz="0" w:space="0" w:color="auto"/>
        <w:right w:val="none" w:sz="0" w:space="0" w:color="auto"/>
      </w:divBdr>
    </w:div>
    <w:div w:id="1980766573">
      <w:bodyDiv w:val="1"/>
      <w:marLeft w:val="0"/>
      <w:marRight w:val="0"/>
      <w:marTop w:val="0"/>
      <w:marBottom w:val="0"/>
      <w:divBdr>
        <w:top w:val="none" w:sz="0" w:space="0" w:color="auto"/>
        <w:left w:val="none" w:sz="0" w:space="0" w:color="auto"/>
        <w:bottom w:val="none" w:sz="0" w:space="0" w:color="auto"/>
        <w:right w:val="none" w:sz="0" w:space="0" w:color="auto"/>
      </w:divBdr>
    </w:div>
    <w:div w:id="2027052181">
      <w:bodyDiv w:val="1"/>
      <w:marLeft w:val="0"/>
      <w:marRight w:val="0"/>
      <w:marTop w:val="0"/>
      <w:marBottom w:val="0"/>
      <w:divBdr>
        <w:top w:val="none" w:sz="0" w:space="0" w:color="auto"/>
        <w:left w:val="none" w:sz="0" w:space="0" w:color="auto"/>
        <w:bottom w:val="none" w:sz="0" w:space="0" w:color="auto"/>
        <w:right w:val="none" w:sz="0" w:space="0" w:color="auto"/>
      </w:divBdr>
    </w:div>
    <w:div w:id="2102406741">
      <w:bodyDiv w:val="1"/>
      <w:marLeft w:val="0"/>
      <w:marRight w:val="0"/>
      <w:marTop w:val="0"/>
      <w:marBottom w:val="0"/>
      <w:divBdr>
        <w:top w:val="none" w:sz="0" w:space="0" w:color="auto"/>
        <w:left w:val="none" w:sz="0" w:space="0" w:color="auto"/>
        <w:bottom w:val="none" w:sz="0" w:space="0" w:color="auto"/>
        <w:right w:val="none" w:sz="0" w:space="0" w:color="auto"/>
      </w:divBdr>
    </w:div>
    <w:div w:id="212526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39.emf"/><Relationship Id="rId50" Type="http://schemas.openxmlformats.org/officeDocument/2006/relationships/package" Target="embeddings/Hoja_de_c_lculo_de_Microsoft_Excel1.xlsx"/><Relationship Id="rId55" Type="http://schemas.openxmlformats.org/officeDocument/2006/relationships/image" Target="media/image46.png"/><Relationship Id="rId63" Type="http://schemas.openxmlformats.org/officeDocument/2006/relationships/package" Target="embeddings/Hoja_de_c_lculo_de_Microsoft_Excel5.xlsx"/><Relationship Id="rId68" Type="http://schemas.openxmlformats.org/officeDocument/2006/relationships/image" Target="media/image54.emf"/><Relationship Id="rId76" Type="http://schemas.openxmlformats.org/officeDocument/2006/relationships/image" Target="media/image61.emf"/><Relationship Id="rId84" Type="http://schemas.openxmlformats.org/officeDocument/2006/relationships/package" Target="embeddings/Hoja_de_c_lculo_de_Microsoft_Excel10.xlsx"/><Relationship Id="rId89"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footer" Target="footer1.xml"/><Relationship Id="rId53" Type="http://schemas.openxmlformats.org/officeDocument/2006/relationships/image" Target="media/image44.emf"/><Relationship Id="rId58" Type="http://schemas.openxmlformats.org/officeDocument/2006/relationships/image" Target="media/image48.emf"/><Relationship Id="rId66" Type="http://schemas.openxmlformats.org/officeDocument/2006/relationships/image" Target="media/image53.emf"/><Relationship Id="rId74" Type="http://schemas.openxmlformats.org/officeDocument/2006/relationships/image" Target="media/image60.emf"/><Relationship Id="rId79" Type="http://schemas.openxmlformats.org/officeDocument/2006/relationships/image" Target="media/image63.emf"/><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package" Target="embeddings/Hoja_de_c_lculo_de_Microsoft_Excel4.xlsx"/><Relationship Id="rId82" Type="http://schemas.openxmlformats.org/officeDocument/2006/relationships/image" Target="media/image65.emf"/><Relationship Id="rId90" Type="http://schemas.openxmlformats.org/officeDocument/2006/relationships/image" Target="media/image71.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0.emf"/><Relationship Id="rId56" Type="http://schemas.openxmlformats.org/officeDocument/2006/relationships/image" Target="media/image47.emf"/><Relationship Id="rId64" Type="http://schemas.openxmlformats.org/officeDocument/2006/relationships/image" Target="media/image51.emf"/><Relationship Id="rId69" Type="http://schemas.openxmlformats.org/officeDocument/2006/relationships/image" Target="media/image55.png"/><Relationship Id="rId77" Type="http://schemas.openxmlformats.org/officeDocument/2006/relationships/package" Target="embeddings/Hoja_de_c_lculo_de_Microsoft_Excel8.xlsx"/><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58.emf"/><Relationship Id="rId80" Type="http://schemas.openxmlformats.org/officeDocument/2006/relationships/image" Target="media/image64.emf"/><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package" Target="embeddings/Hoja_de_c_lculo_de_Microsoft_Excel3.xlsx"/><Relationship Id="rId67" Type="http://schemas.openxmlformats.org/officeDocument/2006/relationships/package" Target="embeddings/Hoja_de_c_lculo_de_Microsoft_Excel6.xlsx"/><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5.emf"/><Relationship Id="rId62" Type="http://schemas.openxmlformats.org/officeDocument/2006/relationships/image" Target="media/image50.emf"/><Relationship Id="rId70" Type="http://schemas.openxmlformats.org/officeDocument/2006/relationships/image" Target="media/image56.png"/><Relationship Id="rId75" Type="http://schemas.openxmlformats.org/officeDocument/2006/relationships/package" Target="embeddings/Hoja_de_c_lculo_de_Microsoft_Excel7.xlsx"/><Relationship Id="rId83" Type="http://schemas.openxmlformats.org/officeDocument/2006/relationships/image" Target="media/image66.emf"/><Relationship Id="rId88" Type="http://schemas.openxmlformats.org/officeDocument/2006/relationships/image" Target="media/image69.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emf"/><Relationship Id="rId57" Type="http://schemas.openxmlformats.org/officeDocument/2006/relationships/package" Target="embeddings/Hoja_de_c_lculo_de_Microsoft_Excel2.xlsx"/><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eader" Target="header1.xml"/><Relationship Id="rId52" Type="http://schemas.openxmlformats.org/officeDocument/2006/relationships/image" Target="media/image43.emf"/><Relationship Id="rId60" Type="http://schemas.openxmlformats.org/officeDocument/2006/relationships/image" Target="media/image49.emf"/><Relationship Id="rId65" Type="http://schemas.openxmlformats.org/officeDocument/2006/relationships/image" Target="media/image52.emf"/><Relationship Id="rId73" Type="http://schemas.openxmlformats.org/officeDocument/2006/relationships/image" Target="media/image59.emf"/><Relationship Id="rId78" Type="http://schemas.openxmlformats.org/officeDocument/2006/relationships/image" Target="media/image62.emf"/><Relationship Id="rId81" Type="http://schemas.openxmlformats.org/officeDocument/2006/relationships/package" Target="embeddings/Hoja_de_c_lculo_de_Microsoft_Excel9.xlsx"/><Relationship Id="rId86" Type="http://schemas.openxmlformats.org/officeDocument/2006/relationships/package" Target="embeddings/Hoja_de_c_lculo_de_Microsoft_Excel11.xlsx"/><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F4B5C-0E36-4B43-9AE2-98323D85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93</Pages>
  <Words>23746</Words>
  <Characters>130607</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Jesús Castillo Caicedo;Jackson Stewar Ackine Leguizamo</dc:creator>
  <cp:keywords/>
  <dc:description/>
  <cp:lastModifiedBy>Yuri Andrea Cabra Matallana</cp:lastModifiedBy>
  <cp:revision>3</cp:revision>
  <cp:lastPrinted>2020-02-11T17:40:00Z</cp:lastPrinted>
  <dcterms:created xsi:type="dcterms:W3CDTF">2020-02-12T12:55:00Z</dcterms:created>
  <dcterms:modified xsi:type="dcterms:W3CDTF">2020-02-13T15:52:00Z</dcterms:modified>
</cp:coreProperties>
</file>