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50" w:rsidRDefault="00263C50">
      <w:pPr>
        <w:jc w:val="center"/>
        <w:rPr>
          <w:rFonts w:ascii="Arial" w:eastAsia="Arial" w:hAnsi="Arial" w:cs="Arial"/>
          <w:b/>
          <w:bCs/>
          <w:color w:val="3A3939"/>
          <w:sz w:val="20"/>
          <w:szCs w:val="20"/>
        </w:rPr>
      </w:pPr>
      <w:bookmarkStart w:id="0" w:name="page1"/>
      <w:bookmarkEnd w:id="0"/>
    </w:p>
    <w:p w:rsidR="00263C50" w:rsidRDefault="00263C50">
      <w:pPr>
        <w:jc w:val="center"/>
        <w:rPr>
          <w:rFonts w:ascii="Arial" w:eastAsia="Arial" w:hAnsi="Arial" w:cs="Arial"/>
          <w:b/>
          <w:bCs/>
          <w:color w:val="3A3939"/>
          <w:sz w:val="20"/>
          <w:szCs w:val="20"/>
        </w:rPr>
      </w:pPr>
    </w:p>
    <w:p w:rsidR="00401270" w:rsidRDefault="00C1455B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A3939"/>
          <w:sz w:val="20"/>
          <w:szCs w:val="20"/>
        </w:rPr>
        <w:t>MATRIZ 2 – INDICADORES FINANCIEROS Y ORGANIZACIONALES</w:t>
      </w:r>
    </w:p>
    <w:p w:rsidR="00401270" w:rsidRDefault="00C1455B">
      <w:pPr>
        <w:spacing w:line="238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A3939"/>
          <w:sz w:val="20"/>
          <w:szCs w:val="20"/>
        </w:rPr>
        <w:t>OBRAS PARA INFRAESTRUCTURA DE TRANSPORTE</w:t>
      </w:r>
    </w:p>
    <w:p w:rsidR="00401270" w:rsidRDefault="00401270">
      <w:pPr>
        <w:spacing w:line="214" w:lineRule="exact"/>
        <w:rPr>
          <w:sz w:val="24"/>
          <w:szCs w:val="24"/>
        </w:rPr>
      </w:pPr>
    </w:p>
    <w:tbl>
      <w:tblPr>
        <w:tblW w:w="0" w:type="auto"/>
        <w:tblInd w:w="2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2600"/>
        <w:gridCol w:w="2280"/>
        <w:gridCol w:w="30"/>
      </w:tblGrid>
      <w:tr w:rsidR="00401270">
        <w:trPr>
          <w:trHeight w:val="194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3A3939"/>
            <w:vAlign w:val="bottom"/>
          </w:tcPr>
          <w:p w:rsidR="00401270" w:rsidRDefault="00401270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A3939"/>
            <w:vAlign w:val="bottom"/>
          </w:tcPr>
          <w:p w:rsidR="00401270" w:rsidRPr="009F3D41" w:rsidRDefault="00C1455B">
            <w:pPr>
              <w:ind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D41">
              <w:rPr>
                <w:rFonts w:ascii="Arial" w:eastAsia="Arial" w:hAnsi="Arial" w:cs="Arial"/>
                <w:b/>
                <w:bCs/>
                <w:color w:val="FFFFFF"/>
                <w:w w:val="99"/>
                <w:sz w:val="16"/>
                <w:szCs w:val="16"/>
              </w:rPr>
              <w:t>Indicador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A3939"/>
            <w:vAlign w:val="bottom"/>
          </w:tcPr>
          <w:p w:rsidR="00401270" w:rsidRPr="009F3D41" w:rsidRDefault="00C1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D41">
              <w:rPr>
                <w:rFonts w:ascii="Arial" w:eastAsia="Arial" w:hAnsi="Arial" w:cs="Arial"/>
                <w:b/>
                <w:bCs/>
                <w:color w:val="FFFFFF"/>
                <w:w w:val="99"/>
                <w:sz w:val="16"/>
                <w:szCs w:val="16"/>
              </w:rPr>
              <w:t>Valor concertado</w:t>
            </w: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Arial" w:hAnsi="Arial" w:cs="Arial"/>
                <w:color w:val="3A3939"/>
                <w:sz w:val="16"/>
                <w:szCs w:val="16"/>
              </w:rPr>
              <w:t>Índice de Liquidez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spacing w:line="415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Cambria Math" w:hAnsi="Arial" w:cs="Arial"/>
                <w:color w:val="3A3939"/>
                <w:sz w:val="16"/>
                <w:szCs w:val="16"/>
              </w:rPr>
              <w:t>≥</w:t>
            </w:r>
            <w:r w:rsidRPr="00C1455B">
              <w:rPr>
                <w:rFonts w:ascii="Arial" w:eastAsia="Arial" w:hAnsi="Arial" w:cs="Arial"/>
                <w:bCs/>
                <w:color w:val="3A3939"/>
                <w:sz w:val="16"/>
                <w:szCs w:val="16"/>
              </w:rPr>
              <w:t>1</w:t>
            </w: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6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5"/>
                <w:szCs w:val="5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12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270" w:rsidRDefault="00401270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36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Arial" w:hAnsi="Arial" w:cs="Arial"/>
                <w:color w:val="3A3939"/>
                <w:sz w:val="16"/>
                <w:szCs w:val="16"/>
              </w:rPr>
              <w:t>Índice de Endeudamiento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spacing w:line="35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Cambria Math" w:hAnsi="Arial" w:cs="Arial"/>
                <w:color w:val="3A3939"/>
                <w:sz w:val="16"/>
                <w:szCs w:val="16"/>
              </w:rPr>
              <w:t xml:space="preserve">≤ </w:t>
            </w:r>
            <w:r w:rsidRPr="00C1455B">
              <w:rPr>
                <w:rFonts w:ascii="Arial" w:eastAsia="Arial" w:hAnsi="Arial" w:cs="Arial"/>
                <w:bCs/>
                <w:color w:val="3A3939"/>
                <w:sz w:val="16"/>
                <w:szCs w:val="16"/>
              </w:rPr>
              <w:t>70%</w:t>
            </w: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  <w:bookmarkStart w:id="1" w:name="_GoBack"/>
        <w:bookmarkEnd w:id="1"/>
      </w:tr>
      <w:tr w:rsidR="00401270">
        <w:trPr>
          <w:trHeight w:val="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7"/>
                <w:szCs w:val="7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9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270" w:rsidRDefault="00401270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36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ind w:righ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Arial" w:hAnsi="Arial" w:cs="Arial"/>
                <w:color w:val="3A3939"/>
                <w:w w:val="99"/>
                <w:sz w:val="16"/>
                <w:szCs w:val="16"/>
              </w:rPr>
              <w:t>Razón de Cobertura de Intereses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spacing w:line="35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Cambria Math" w:hAnsi="Arial" w:cs="Arial"/>
                <w:color w:val="3A3939"/>
                <w:sz w:val="16"/>
                <w:szCs w:val="16"/>
              </w:rPr>
              <w:t>≥</w:t>
            </w:r>
            <w:r w:rsidR="00070D4C" w:rsidRPr="00C1455B">
              <w:rPr>
                <w:rFonts w:ascii="Arial" w:eastAsia="Cambria Math" w:hAnsi="Arial" w:cs="Arial"/>
                <w:color w:val="3A3939"/>
                <w:sz w:val="16"/>
                <w:szCs w:val="16"/>
              </w:rPr>
              <w:t xml:space="preserve"> 1</w:t>
            </w: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8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7"/>
                <w:szCs w:val="7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9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270" w:rsidRDefault="00401270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35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Arial" w:hAnsi="Arial" w:cs="Arial"/>
                <w:color w:val="3A3939"/>
                <w:w w:val="99"/>
                <w:sz w:val="16"/>
                <w:szCs w:val="16"/>
              </w:rPr>
              <w:t>Capital de Trabajo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Arial" w:hAnsi="Arial" w:cs="Arial"/>
                <w:color w:val="3A3939"/>
                <w:w w:val="99"/>
                <w:sz w:val="16"/>
                <w:szCs w:val="16"/>
              </w:rPr>
              <w:t>Definido en los Pliegos Tipo</w:t>
            </w: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9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7"/>
                <w:szCs w:val="7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9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270" w:rsidRDefault="00401270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35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ind w:righ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Arial" w:hAnsi="Arial" w:cs="Arial"/>
                <w:color w:val="3A3939"/>
                <w:sz w:val="16"/>
                <w:szCs w:val="16"/>
              </w:rPr>
              <w:t>Rentabilidad del Patrimonio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spacing w:line="358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Cambria Math" w:hAnsi="Arial" w:cs="Arial"/>
                <w:color w:val="3A3939"/>
                <w:sz w:val="16"/>
                <w:szCs w:val="16"/>
              </w:rPr>
              <w:t>≥</w:t>
            </w:r>
            <w:r w:rsidR="00070D4C" w:rsidRPr="00C1455B">
              <w:rPr>
                <w:rFonts w:ascii="Arial" w:eastAsia="Cambria Math" w:hAnsi="Arial" w:cs="Arial"/>
                <w:color w:val="3A3939"/>
                <w:sz w:val="16"/>
                <w:szCs w:val="16"/>
              </w:rPr>
              <w:t xml:space="preserve"> 0</w:t>
            </w: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7"/>
                <w:szCs w:val="7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9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270" w:rsidRDefault="00401270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Pr="00C1455B" w:rsidRDefault="004012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36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Arial" w:hAnsi="Arial" w:cs="Arial"/>
                <w:color w:val="3A3939"/>
                <w:w w:val="99"/>
                <w:sz w:val="16"/>
                <w:szCs w:val="16"/>
              </w:rPr>
              <w:t>Rentabilidad del Activo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Pr="00C1455B" w:rsidRDefault="00C1455B">
            <w:pPr>
              <w:spacing w:line="35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55B">
              <w:rPr>
                <w:rFonts w:ascii="Arial" w:eastAsia="Cambria Math" w:hAnsi="Arial" w:cs="Arial"/>
                <w:color w:val="3A3939"/>
                <w:sz w:val="16"/>
                <w:szCs w:val="16"/>
              </w:rPr>
              <w:t>≥</w:t>
            </w:r>
            <w:r w:rsidR="00070D4C" w:rsidRPr="00C1455B">
              <w:rPr>
                <w:rFonts w:ascii="Arial" w:eastAsia="Cambria Math" w:hAnsi="Arial" w:cs="Arial"/>
                <w:color w:val="3A3939"/>
                <w:sz w:val="16"/>
                <w:szCs w:val="16"/>
              </w:rPr>
              <w:t xml:space="preserve"> 0</w:t>
            </w: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01270" w:rsidRDefault="00401270">
            <w:pPr>
              <w:rPr>
                <w:sz w:val="7"/>
                <w:szCs w:val="7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401270" w:rsidRDefault="00401270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01270" w:rsidRDefault="0040127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  <w:tr w:rsidR="00401270">
        <w:trPr>
          <w:trHeight w:val="9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270" w:rsidRDefault="00401270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Default="00401270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270" w:rsidRDefault="0040127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01270" w:rsidRDefault="00401270">
            <w:pPr>
              <w:rPr>
                <w:sz w:val="1"/>
                <w:szCs w:val="1"/>
              </w:rPr>
            </w:pPr>
          </w:p>
        </w:tc>
      </w:tr>
    </w:tbl>
    <w:p w:rsidR="00401270" w:rsidRDefault="00401270">
      <w:pPr>
        <w:spacing w:line="200" w:lineRule="exact"/>
        <w:rPr>
          <w:sz w:val="24"/>
          <w:szCs w:val="24"/>
        </w:rPr>
      </w:pPr>
    </w:p>
    <w:p w:rsidR="00401270" w:rsidRDefault="00401270">
      <w:pPr>
        <w:spacing w:line="266" w:lineRule="exact"/>
        <w:rPr>
          <w:sz w:val="24"/>
          <w:szCs w:val="24"/>
        </w:rPr>
      </w:pPr>
    </w:p>
    <w:p w:rsidR="00401270" w:rsidRDefault="00C1455B">
      <w:pPr>
        <w:spacing w:line="236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3A3939"/>
          <w:sz w:val="20"/>
          <w:szCs w:val="20"/>
        </w:rPr>
        <w:t xml:space="preserve">Los indicadores definidos en la presente matriz deben ser usados de manera obligatoria por las Entidades en la </w:t>
      </w:r>
      <w:r>
        <w:rPr>
          <w:rFonts w:ascii="Arial" w:eastAsia="Arial" w:hAnsi="Arial" w:cs="Arial"/>
          <w:color w:val="3A3939"/>
          <w:sz w:val="20"/>
          <w:szCs w:val="20"/>
        </w:rPr>
        <w:t>estructuración de los Documentos del Proceso de Contratación de obra pública para infraestructura de transporte.</w:t>
      </w:r>
    </w:p>
    <w:sectPr w:rsidR="00401270">
      <w:headerReference w:type="default" r:id="rId6"/>
      <w:footerReference w:type="default" r:id="rId7"/>
      <w:pgSz w:w="12240" w:h="15840"/>
      <w:pgMar w:top="1415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C50" w:rsidRDefault="00263C50" w:rsidP="00263C50">
      <w:r>
        <w:separator/>
      </w:r>
    </w:p>
  </w:endnote>
  <w:endnote w:type="continuationSeparator" w:id="0">
    <w:p w:rsidR="00263C50" w:rsidRDefault="00263C50" w:rsidP="0026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D41" w:rsidRDefault="009F3D41" w:rsidP="009F3D41">
    <w:pPr>
      <w:pStyle w:val="Encabezado"/>
    </w:pPr>
  </w:p>
  <w:p w:rsidR="009F3D41" w:rsidRDefault="009F3D41" w:rsidP="009F3D41"/>
  <w:p w:rsidR="009F3D41" w:rsidRDefault="009F3D41" w:rsidP="009F3D41">
    <w:pPr>
      <w:pStyle w:val="Piedepgina"/>
    </w:pPr>
  </w:p>
  <w:p w:rsidR="009F3D41" w:rsidRDefault="009F3D41" w:rsidP="009F3D41"/>
  <w:p w:rsidR="009F3D41" w:rsidRPr="00C01CAA" w:rsidRDefault="009F3D41" w:rsidP="009F3D41">
    <w:pPr>
      <w:ind w:right="-99"/>
      <w:jc w:val="center"/>
      <w:rPr>
        <w:sz w:val="20"/>
        <w:szCs w:val="20"/>
      </w:rPr>
    </w:pPr>
    <w:r w:rsidRPr="00C01CAA">
      <w:rPr>
        <w:rFonts w:ascii="Arial" w:hAnsi="Arial" w:cs="Arial"/>
        <w:sz w:val="20"/>
        <w:szCs w:val="20"/>
        <w:lang w:val="es-ES"/>
      </w:rPr>
      <w:t xml:space="preserve">Página </w:t>
    </w:r>
    <w:r w:rsidRPr="00C01CAA">
      <w:rPr>
        <w:rFonts w:ascii="Arial" w:hAnsi="Arial" w:cs="Arial"/>
        <w:bCs/>
        <w:sz w:val="20"/>
        <w:szCs w:val="20"/>
      </w:rPr>
      <w:fldChar w:fldCharType="begin"/>
    </w:r>
    <w:r w:rsidRPr="00C01CAA">
      <w:rPr>
        <w:rFonts w:ascii="Arial" w:hAnsi="Arial" w:cs="Arial"/>
        <w:bCs/>
        <w:sz w:val="20"/>
        <w:szCs w:val="20"/>
      </w:rPr>
      <w:instrText>PAGE</w:instrText>
    </w:r>
    <w:r w:rsidRPr="00C01CAA">
      <w:rPr>
        <w:rFonts w:ascii="Arial" w:hAnsi="Arial" w:cs="Arial"/>
        <w:bCs/>
        <w:sz w:val="20"/>
        <w:szCs w:val="20"/>
      </w:rPr>
      <w:fldChar w:fldCharType="separate"/>
    </w:r>
    <w:r w:rsidR="00C1455B">
      <w:rPr>
        <w:rFonts w:ascii="Arial" w:hAnsi="Arial" w:cs="Arial"/>
        <w:bCs/>
        <w:noProof/>
        <w:sz w:val="20"/>
        <w:szCs w:val="20"/>
      </w:rPr>
      <w:t>1</w:t>
    </w:r>
    <w:r w:rsidRPr="00C01CAA">
      <w:rPr>
        <w:rFonts w:ascii="Arial" w:hAnsi="Arial" w:cs="Arial"/>
        <w:bCs/>
        <w:sz w:val="20"/>
        <w:szCs w:val="20"/>
      </w:rPr>
      <w:fldChar w:fldCharType="end"/>
    </w:r>
    <w:r w:rsidRPr="00C01CAA">
      <w:rPr>
        <w:rFonts w:ascii="Arial" w:hAnsi="Arial" w:cs="Arial"/>
        <w:sz w:val="20"/>
        <w:szCs w:val="20"/>
        <w:lang w:val="es-ES"/>
      </w:rPr>
      <w:t xml:space="preserve"> de </w:t>
    </w:r>
    <w:r w:rsidRPr="00C01CAA">
      <w:rPr>
        <w:rFonts w:ascii="Arial" w:hAnsi="Arial" w:cs="Arial"/>
        <w:bCs/>
        <w:sz w:val="20"/>
        <w:szCs w:val="20"/>
      </w:rPr>
      <w:fldChar w:fldCharType="begin"/>
    </w:r>
    <w:r w:rsidRPr="00C01CAA">
      <w:rPr>
        <w:rFonts w:ascii="Arial" w:hAnsi="Arial" w:cs="Arial"/>
        <w:bCs/>
        <w:sz w:val="20"/>
        <w:szCs w:val="20"/>
      </w:rPr>
      <w:instrText>NUMPAGES</w:instrText>
    </w:r>
    <w:r w:rsidRPr="00C01CAA">
      <w:rPr>
        <w:rFonts w:ascii="Arial" w:hAnsi="Arial" w:cs="Arial"/>
        <w:bCs/>
        <w:sz w:val="20"/>
        <w:szCs w:val="20"/>
      </w:rPr>
      <w:fldChar w:fldCharType="separate"/>
    </w:r>
    <w:r w:rsidR="00C1455B">
      <w:rPr>
        <w:rFonts w:ascii="Arial" w:hAnsi="Arial" w:cs="Arial"/>
        <w:bCs/>
        <w:noProof/>
        <w:sz w:val="20"/>
        <w:szCs w:val="20"/>
      </w:rPr>
      <w:t>1</w:t>
    </w:r>
    <w:r w:rsidRPr="00C01CAA">
      <w:rPr>
        <w:rFonts w:ascii="Arial" w:hAnsi="Arial" w:cs="Arial"/>
        <w:bCs/>
        <w:sz w:val="20"/>
        <w:szCs w:val="20"/>
      </w:rPr>
      <w:fldChar w:fldCharType="end"/>
    </w:r>
  </w:p>
  <w:p w:rsidR="009F3D41" w:rsidRDefault="009F3D41">
    <w:pPr>
      <w:pStyle w:val="Piedepgina"/>
    </w:pPr>
  </w:p>
  <w:p w:rsidR="009F3D41" w:rsidRDefault="009F3D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C50" w:rsidRDefault="00263C50" w:rsidP="00263C50">
      <w:r>
        <w:separator/>
      </w:r>
    </w:p>
  </w:footnote>
  <w:footnote w:type="continuationSeparator" w:id="0">
    <w:p w:rsidR="00263C50" w:rsidRDefault="00263C50" w:rsidP="00263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50" w:rsidRDefault="00263C50" w:rsidP="00263C50">
    <w:r>
      <w:rPr>
        <w:noProof/>
      </w:rPr>
      <w:drawing>
        <wp:anchor distT="0" distB="0" distL="114300" distR="114300" simplePos="0" relativeHeight="251659264" behindDoc="0" locked="0" layoutInCell="1" allowOverlap="1" wp14:anchorId="2285259B" wp14:editId="69008140">
          <wp:simplePos x="0" y="0"/>
          <wp:positionH relativeFrom="column">
            <wp:posOffset>2568271</wp:posOffset>
          </wp:positionH>
          <wp:positionV relativeFrom="paragraph">
            <wp:posOffset>129705</wp:posOffset>
          </wp:positionV>
          <wp:extent cx="793699" cy="816376"/>
          <wp:effectExtent l="0" t="0" r="6985" b="317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99" cy="816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3C50" w:rsidRDefault="00263C50" w:rsidP="00263C50">
    <w:pPr>
      <w:ind w:left="100"/>
      <w:rPr>
        <w:sz w:val="20"/>
        <w:szCs w:val="20"/>
      </w:rPr>
    </w:pPr>
    <w:r>
      <w:rPr>
        <w:rFonts w:ascii="Arial" w:eastAsia="Arial" w:hAnsi="Arial" w:cs="Arial"/>
        <w:b/>
        <w:bCs/>
        <w:color w:val="3B3838"/>
        <w:sz w:val="20"/>
        <w:szCs w:val="20"/>
        <w:highlight w:val="lightGray"/>
      </w:rPr>
      <w:t>[Número del Proceso de Contratación]</w:t>
    </w:r>
    <w:r w:rsidRPr="003D72AC">
      <w:rPr>
        <w:noProof/>
      </w:rPr>
      <w:t xml:space="preserve"> </w:t>
    </w:r>
  </w:p>
  <w:p w:rsidR="00263C50" w:rsidRDefault="00263C50" w:rsidP="00263C50">
    <w:pPr>
      <w:spacing w:line="171" w:lineRule="exact"/>
      <w:rPr>
        <w:sz w:val="24"/>
        <w:szCs w:val="24"/>
      </w:rPr>
    </w:pPr>
  </w:p>
  <w:p w:rsidR="00263C50" w:rsidRDefault="00263C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70"/>
    <w:rsid w:val="00070D4C"/>
    <w:rsid w:val="00263C50"/>
    <w:rsid w:val="00401270"/>
    <w:rsid w:val="009F3D41"/>
    <w:rsid w:val="00C1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9FEE6B6-9B3D-499A-8811-6B14C502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3C50"/>
  </w:style>
  <w:style w:type="paragraph" w:styleId="Piedepgina">
    <w:name w:val="footer"/>
    <w:basedOn w:val="Normal"/>
    <w:link w:val="PiedepginaCar"/>
    <w:uiPriority w:val="99"/>
    <w:unhideWhenUsed/>
    <w:rsid w:val="00263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Juan Gabriel Mendez Cortes</cp:lastModifiedBy>
  <cp:revision>5</cp:revision>
  <dcterms:created xsi:type="dcterms:W3CDTF">2019-03-22T09:06:00Z</dcterms:created>
  <dcterms:modified xsi:type="dcterms:W3CDTF">2019-03-22T13:09:00Z</dcterms:modified>
</cp:coreProperties>
</file>